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Sharing personal challenges and growth experiences in college application essays focused on money, work, and social class can effectively illustrate an applicant's maturity and adaptability. These narratives provide a platform for applicants to articulate how they have navigated socioeconomic hurdles, demonstrating their ability to overcome adversity. According to Aronowitz, understanding the attitudes towards money and joblessness within one's family can significantly influence an individual's educational journey, thereby offering a context for personal growth (Ref-f526922). By detailing specific instances of personal development, applicants can highlight their capacity for resilience and their potential to thrive in diverse environments. Such essays not only reflect the applicant's adaptability but also signal to admissions committees their readiness to engage with the complexities of a dynamic college community, thus reinforcing their suitability for the academic and social challenges of higher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