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motivation to become a drug abuse counselor is deeply rooted in my personal recovery journey and a profound desire to assist others facing similar adversities. Experiencing firsthand the transformative power of effective counseling, I am compelled to provide the same level of support that was pivotal in my own healing. The realization that my struggles could serve as a beacon of hope for others became a driving force in my pursuit of this career. I am particularly motivated by the knowledge that sharing personal experiences can foster a unique connection with clients, enabling a more empathic and effective counseling process (Ref-u837486). This shared understanding not only aids in building trust but also empowers individuals to confront their own challenges with the assurance that recovery is attainable.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