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Health promotion programs targeting maternal health in India have been developed with diverse objectives and target populations in mind, aiming to address the intricate interplay of socioeconomic and cultural determinants. One such program is the Janani Suraksha Yojana (JSY), which focuses on increasing institutional deliveries among rural and low-income populations through financial incentives (Ref-s160339). By encouraging institutional births, JSY seeks to improve maternal and neonatal health outcomes and reduce mortality rates. Additionally, community-based participatory research (CBPR) methods have been employed to design culturally relevant interventions that resonate with local populations, ensuring the feasibility and acceptability of these programs (Ref-s160339). While these initiatives have made strides in addressing maternal health disparities, ongoing efforts are needed to ensure their sustainability and to adapt strategies effectively for diverse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