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concluding the exploration of assisted suicide, it is reaffirmed that, when regulated and ethically administered, this practice should be considered a viable option in end-of-life care. The examination of its historical evolution and current legal landscape highlights significant progress towards recognizing individual autonomy in terminally ill patients' decisions. Supporting arguments have emphasized the compassionate nature of assisted suicide, particularly in alleviating suffering and enhancing the provision of patient-centered care. Furthermore, addressing objections has demonstrated that, under stringent guidelines, assisted suicide aligns with the medical profession's commitment to alleviating suffering. Future implications suggest a continued integration of assisted suicide within healthcare systems, potentially fostering more comprehensive end-of-life care solutions that respect patient autonomy and ethical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