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Reflecting on the identified research flaws offers significant implications for policy-making and program development in professional development for transnational Chinese teachers. The absence of longitudinal studies and over-reliance on qualitative data necessitates a reevaluation of current policies to ensure they are informed by comprehensive and robust evidence (Ref-s791858). Policymakers should prioritize funding for research that integrates mixed-method approaches, enabling a more nuanced understanding of program impacts over time. Additionally, the limited inclusion of teachers' voices suggests a need for participatory policy frameworks that incorporate the perspectives of educators, ensuring that program designs are more aligned with their real-world challenges and needs (Ref-s791858). By addressing these methodological shortcomings, program developers can create more effective, data-driven initiatives that better support the adaptation and professional growth of transnational teachers in diverse educational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