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Comparing the situation of non-cricket sports in India with that of other countries offers valuable insights into the broader context of sports development. In countries like the United States and Australia, diverse sports ecosystems thrive due to equitable resource distribution and strong grassroots programs that support various sports disciplines (Ref-s489569). These nations have implemented policies that ensure balanced investment across different sports, fostering a culture where multiple sports can coexist and prosper. In contrast, India's focus remains predominantly on cricket, limiting the growth and commercial potential of other sports despite the proven success of diversified sports models globally (Ref-s489569). By examining these international examples, India can glean strategies for policy reform and investment to enhance the development and competitiveness of its non-cricket sports on the world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