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functionalities of smart textiles serve as a cornerstone in the advancement of temperature regulation and thermal management technologies. Passive radiative cooling, as explored by Peng et al. (Ref-s633975), exemplifies how these textiles can facilitate heat dissipation without energy input, thereby enhancing user comfort in varying environments. Zhang et al. (Ref-s633975) further investigate the implications of integrating moisture-wicking capabilities with radiative cooling fabrics, demonstrating improved efficiency in heat management. These innovations enable textiles to maintain optimal thermal conditions, significantly reducing the need for external cooling systems. Additionally, the development of smart textiles with energy storage capacities fosters the creation of multifunctional garments that can adapt to environmental changes while conserving energy for later use, thereby expanding their application potential in wearable technology (Ref-s633975).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