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Carla Harris's professional journey is propelled by a relentless drive for excellence, the cultivation of authenticity, and a profound commitment to impactful mentoring. Her motivation transcends mere personal achievement; it is intricately linked to her desire to inspire and uplift women and minorities within the corporate sphere. Harris's approach emphasizes authentic leadership, where she encourages individuals to bring their true selves to the workplace, fostering a culture of inclusivity and innovation. This ethos not only enhances the work environment but also supports her broader goal of effecting meaningful change in society, particularly for underrepresented groups. According to research on the challenges faced by African-American women, such as those Harris has navigated, mentoring can be a pivotal strategy in overcoming systemic barriers (Ref-s405644), illustrating the far-reaching impact of her motivations.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