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Improved public health outcomes and economic benefits are two compelling reasons for supporting universal access to healthcare. According to (Ref-u242507), countries implementing universal healthcare experience significant reductions in mortality rates and enhanced life expectancy. These improvements in public health are attributed to the broad availability of preventive services and timely medical interventions, which collectively contribute to a healthier population. Moreover, (Ref-u242507) analysis reveals that universal healthcare systems can lead to substantial economic benefits by reducing the overall healthcare expenditure, as early interventions and preventive care lower the need for costly emergency treatments. Consequently, the economic stability derived from these savings allows for reinvestment in other critical areas, fostering a more resilient economy. (Ref-u242507) further argues that the equitable distribution of healthcare resources leads to a healthier workforce, thereby enhancing productivity and economic growth. This connection between healthcare accessibility and economic health underscores the importance of adopting universal healthcare systems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