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conclusion, the advancement of hydrogen hubs is a multifaceted endeavor that requires addressing significant gaps in storage, transportation, and safety to ensure a sustainable future. The development of robust cryogenic tank technologies and alternative transportation solutions is critical to overcoming challenges associated with hydrogen's unique properties. Furthermore, the integration of hydrogen into existing regulatory frameworks demands a cohesive approach that aligns with international standards to enhance clarity and efficiency. These efforts, coupled with strategic federal collaboration and community engagement, can promote equitable access to clean energy, stimulating economic growth and mitigating climate change impacts. Thus, a concerted focus on these critical areas will pave the way for hydrogen to play a pivotal role in the global energy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