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Mental health issues extend beyond individual experiences to influence societal structures, posing significant challenges to communities. The prevalence of mental disorders often correlates with socio-economic factors, affecting various demographics disproportionately, such as those based on race, social class, gender, and age (Ref-s571965). These disparities highlight the necessity for equitable mental health resources and policies that address the unique needs of diverse populations. Societally, the burden of mental health disorders manifests in increased healthcare costs, reduced workforce productivity, and heightened demands on social services, underscoring the economic impact of untreated mental health issues. Statistics reveal that mental health problems account for a significant portion of disability claims and absenteeism in the workplace, emphasizing the critical need for comprehensive mental health strategies that support both individual and community well-being (Ref-s571965).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