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Evaluating the positive benefits of the COPD care plan developed using the GRiP model requires a multifaceted approach that incorporates both quantitative and qualitative measures. One method involves tracking clinical outcomes, such as improvements in lung function and reductions in exacerbation frequency, which provide tangible evidence of the plan's effectiveness. Patient-reported outcomes, including quality of life assessments and satisfaction surveys, offer insights into the subjective benefits experienced by patients, as observed in studies on the COPD-GRIP intervention (Ref-f733647). Additionally, regular follow-up appointments and feedback mechanisms allow healthcare providers to continuously monitor progress and adjust care plans as needed, ensuring that interventions remain aligned with evolving patient needs. By combining these strategies, the evaluation process not only measures the care plan's impact on health outcomes but also informs ongoing refinement and optimization of COPD management practices.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