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narrative begins on a humid summer evening in the heart of the city, where the cacophony of traffic melded with the rhythmic buzz of street vendors. Amidst this urban backdrop stood Alex, a long-time friend, and Sam, a colleague whose presence was less familiar. As we navigated the crowded streets, an unexpected confrontation emerged when Sam inadvertently bumped into a passerby, sparking a heated exchange. Alex, ever the peacemaker, stepped forward to diffuse the situation, a gesture that seemed to embody his unwavering belief in the goodness of people. This incident, seemingly trivial at first, set the stage for a deeper exploration of trust, challenging preconceived notions as the evening unfolded with unforeseen developments.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