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exploration of money as a motivating factor reveals its dual role in driving both constructive and destructive outcomes. On the constructive side, financial incentives boost productivity, foster innovation, and reward hard work, contributing to economic growth and organizational success. Conversely, when pursued without ethical considerations, money can incite greed and unethical behavior, leading to financial crises and compromised values. To leverage money's constructive potential, organizations should align financial rewards with ethical standards and long-term goals, ensuring that monetary incentives promote sustainability and integrity. By adopting these strategies, it is possible to harness the positive aspects of financial motivation while mitigating its potential to cause adverse consequences, thereby fostering a balanced approach to motivation in diverse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