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author did not appeal to the emotion of the readers. It seems that this article is made for the purpose of appealing to the logic of the acts of Joe Manchin. The author appealed to the logic of the readers by enumerating the facts in the article that are credible. He also mentioned pieces of evidence that support his argument. In this way, the author mentioned the political and personal motivations of Joe Manchin in denying the debated bill. The author also mentioned ways in how Congress remedied the denial of the enactment of the bill.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