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storehouse's construction must be carefully examined as it seems to be a long-term asset. Walmart will very probably need to understand altering business patterns, such as the growth of internet orders while making judgments on the future possibilities presented by warehouse estate. Walmart's warehouses must be constructed to allow for efficient warehouse circulation, and set warehouse laws must be followed. This will be extremely useful during high flow hours when quick product selection is required. Warehouse design factors to consider include thermal management control systems, equipment quantities, worker levels, and corporate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