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NEPA constitutes a special case since it is not just another environmental law. Modern environmental regulation has been in existence since 1970 to date. The majority of US regulations mainly emphasize legal compliance and are insignificant on the environmental performance (Ref-u101677). These policies are mainly laws, programs, and regulations meant to fight environmental pollution regardless of the economic growth globally. NEPA is not just a mere law on environmental conservation. Still, it further establishes minimum guidelines to be followed by all federal agencies in streamlining their actions that affect human beings and the natural environment with the cardinal objective of minimizing environmental impacts. The operation of NEPA is overseen by the Council for Environmental Quality (CEQ). NEPA does not enforce actions but makes prudent decisions following an extensive assessment of the possible environmental impacts. NEPA cannot be deemed similar to other environmental laws since it served as the main policy in the 60s and 70s. The act gave the citizenry the power to contribute to environmental decisions in all government agencies. Also, NEPA goes further to construct highways and various public-owned amenities in a country. Therefore, NEPA is different from the majority of environmental 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