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respiratory care and medicine, the ratio of the ventilation-perfusion ratio plays an important role in determining the oxygen levels in the blood for the timely provision of care to the patient with insufficient oxygen in the blood. In pathologies such as asthma, chronic bronchitis, acute pulmonary edema, and hepatopulmonary syndrome, which means a low V/Q index, pulse oximetry is performed to clarify the condition, and, then, oxygen therapy and an endotracheal tube is installed to supply a sufficient level of oxygen to the blood (Ref-f549966). In other pathologies, with an increased V/Q index, oxygen is prescribed as needed to maintain PaO2 within 60–80 mm Hg (up to 100% saturation) and direct efforts to eliminate the cause (Ref-f549966).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