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As described above, both these works are similar in the way how they represent modern society and the harsh realities driven by such as society. Sonny’s Blues, while exposing the tone of loneliness, dehumanization, and suffering in the past context of the scenario, The Pedestrian, reflects upon similar themes but in the future scenario. Both these works form an implication that no matter the era, past, present, or future, the harsh features of the grounded reality remains constant.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