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past Cracker Barrel had a history of anti-gay as well as diversity problems. The similarities between the race and sexual orientation concerns include that both groups have a mutual goal of inclusion and both want to eliminate discrimination. Another similarity that these two share after years cracker barrels board has both as part of its sexual discrimination policy. This includes that they “will not tolerate any form of discrimination, harassment, or retaliation affecting its employees or applicants due to race, color, religion, sex, sexual orientation, national origin, age, marital status, medical condition, or disability.” (Ref-s275091). A major difference between these two concerns was that at one point the company called for a termination of employees whose sexual preference failed to demonstrate normal heterosexual values. Many of these employees faced direct discrimination and were given the reason that they were gay as to why they were fired.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