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wide variety of topics relating to immigration and border security have been discussed in this study. An overall conclusion is difficult to make, but one might deduce that illegal immigration positively impacts the United States since the American labor market has been divided into primary and secondary sectors. Next-generation immigration policy should consider that immigrants those are undocumented have a beneficial influence on economy. Illegal immigration, on the other hand, seems to be a net budgetary drain. Additional study is needed to ascertain the exact monetary, fiscal costs of “illegal immigrants” impose. Still, it is crucial to remember that state and local governments disproportionately carry fiscal expenses. Thus, the distribution of federal and state resources is also a factor in the budgetary cost of illegal immigration. For policymakers, the most critical question in any border security plan is to address the underlying reasons for specific illegal activity to relieve some of the strains upon that border protection system. Politicians may want to consider if handling the many risks to homeland security with a cohesive approach is the best way to achieve their goals. Terrorism, for example, may need merely enforcement actions, while other activities may profit from a more comprehensiv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