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paucity of order in the classroom is originators of Essie’s hurling items, particularly at another student. In virtue of the truth that directives had been presented among one of such situations when Essie was not keyed in when the instructor delivered the guidelines, she might have gotten perhaps distracted or otherwise not concerned. The invisible syllabus in classrooms fosters the societal practice of not questioning the legitimacy of an instructor or the apparent plot or partiality of an activity, which is reinforced by such an invisible syllabus. The consequences are her focusing on a partner and tossing stuff (Ref-s553901). I agree with the consequence of her efforts gently redirecting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