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Title VII of the Civil Rights Acts makes provisions that prohibits any form of discrimination against religion. It focuses on avoiding persons being discriminated against on the basis of their religion in their places of the refusal of the work. Larry does not have a valid claim under this Act. This is premise on the fact that the department did not refuse him the job because of his religion but because in their opinion the dreads were unsafe for the job of a firefighter. This reasoning is understandable as the job of a firefighter is swift and requires nothing that could cause more damage, having a firefighter have his hair on fire in the middle of a rescue would only amount to more casualties. They did not refuse him the job because of his religion and as such he does not have a valid claim under the Act. The department might have been guilty of discriminating against him if they had asked him to get rid of the dreads because of his religion before he got hired, but as this is not the case, Larry's claim is not valid.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