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different states of unconsciousness mainly include coma where the patient's thalamus or brainstem are damaged, making the patient unresponsive to stimuli such as sound, pain, or touch. In a minimally conscious state (MCS), the patient is intermittently aware of the environment and can respond to the commands such as reacting to pain and moving the eyes. Moreover, in a persistent vegetative state (PVS), the patients exhibit no signs of awareness of themselves, communication, or perception; however, they can breathe, open their eyes, and make involuntary movements on their own (Ref-u097305). Potential risks of long-term brain trauma in the United States may result in a decline in cognitive functioning, sensory and perpetual effects, and impairment of vision and hearing of the patients. The family members also suffer from psychological problems due to fatigue, increased expenses, and burnout when caring for their loved 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