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course of recent many years, through every one of the changing requests forced by the distinctive military and regular citizen theatres of activity, it is the plan, structure, and capacity of the Hard Armor Plate that has seen the most sensational changes. Furthermore, despite the fact that these progressions have been achieved by the consistent drive for progressively light frameworks, the vast majority of the material choices are as yet accessible in the commercial centre, even the heavier frameworks dependent on high hardness steels. During the period 2000–2010, body defensive layer frameworks turned out to be more complicated, more defensive, and buy particulars undeniably more requesting with an ever-increasing number of various strikes characterized. From 2010 onwards, along these lines, frameworks have decreased and more modest, particulars less requesting and, as an outcome, loads started to fall through either determination changes, further developed plans, or using boron carbide materials. Lastly, beginning around 2015, the quick advancement of exceptionally compacted types of UHMWPE UD textures has seen a sensational decrease in the heaviness of body protection frameworks against both lead-filled and gentle steel cored ammo. Particular Combat Body Armor System (MCBAS) produced for the Australian military, have a decent shape and a delicate vest that gives close to most extreme inclusion – these are exceptionally useful when doing patrolling – they are additionally famous with the police administrations since they offer exhaustive inclusion against handgun rounds and offer the capacity to be redesigned for insurance against high-speed rifle adjusts, by utilizing an advantageous HAP before the vest.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