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According to Frankfurt, the essence of the will's feasibility is a satisfying initial demand will. It inspires people to do what they want, for example. In Frankfurt's sense, a desire to eat a sack of apples is one's will, assuming that desire carries one to eat the sack of apples. Also, as Frankfurt points out, a 'wanton' is an animal that has been integrated to have a second proposal wishes but is unsuitable for forming volitions of the later request. Frankfurt's description of a person is all about the individual's desire, and I agree with that because all human beings in this world have a sense of desire from different kinds of perspectives.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