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It started with a marital dispute. On the 14th of September in 1991, the plaintiff, Kenneth J. Johnson married Ms. Rhonda Mitchell. It is reported that barely three years after their marriage, the couple started having marital issues in 1994. Ms. Mitchel started telephoning the defendant and appellant, Dallas M. Pearce in December 1996. The defendant was a member of her church and they soon were close friends (Ref-u839659). The plaintiff discovered his wife’s unbecoming habit of contacting the defendant on the 14th of July 1997, and confronted Ms. Mitchell. The couple had an argument about it which led to Ms. Mitchell departing their matrimonial home the next day, 15th of July 1997. Ms. Mitchell and the defendant would soon begin dating in December of the same year; however, it is reported that their relationship only became sexual in January 1998, which in approximation is 5 months after Ms. Mitchell moved out of the marital home and separated from the plaintiff.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