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political satire is in the major construction of the case: and antique switchable, which, under the US Constitution, cannot be justified for murder as it is circumstantial evidence (Ref-u439041). The concept of innocence until proven guilty is used fervently in our legal system, and the movie uses it, as Juror no. 3 claims it to be an “open and shut” case; however, the movie’s gist is in the personal conflict and underlying motives. The defendant, the defendant, is shown once in the brief shot, and the conflict intertwines among the twelve jurors. The movie’s cinematography is a remarkable representation of stylized realism set in a claustrophobic room to develop a stark repertoire among the booming Technicolor movies of its time (Ref-u439041). The debacle among the jurors is speckled with swears, smokes, and aggression, which jitters the viewer as a court attendee. The twelve jurors are introduced in quick prologues, while the film runs tirelessly through his smaller runtime of 95 minutes. Juror 8 (Henry Fonda) is the rational protagonist, who splits the hairs in the case, and runs a thorough argument to save the child, while major racial opposition is from Juror 10, who despises the boy for his social background. He exclaims, “You know how these people lie. It’s born in them.” The alienation and partiality are vocalized in the early American legal system; however, some jurors quickly turn their back from the unnecessary arguments on race (Ref-u439041).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