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A survey conducted depicted that both men and women aspire to achieve the same goals out of work and family life. Children of the gender revolution revealed that they aspire to work and have financial independence. Adding to that, they also desire to build a two-parent home for their children; for some, this means marriage, while for others it means simply cohabiting. Contrary to popular belief, especially with the rise of single-parent homes, the youth of the twenty-first century actually aspires to have a two-parent family unit. Both men and women want to work and make money to provide for their families, they believe that they should meet each other halfway, financially. They prove to be moving towards the life of gender equality within families, where men are no longer the sole breadwinners in the home, but both parties provide. While some of these children of gender revolution were raised in single-parent homes, due to the rise of divorce rate, they however want something different for their own families. They reveal that they want a committed marriage or marriage-like relationship. They desire to balance both the family life, as well as the work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