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BMI is a measure of excess body fat where excess body fat is linked with cardiovascular diseases and diabetes. However, one of the limitations of this assessment is that it does not separate fat mass from lean mass. Wong et al. (2021) found out that older adults have less lean mass with more distribution of fat around the abdominal area. Therefore, BMI would not be effective in older adults. Another concern of BMI is that it measures excess weight rather than excess fat hence people like bodybuilders may be classified as obese while athletes may be classified as underweight. The BMI assessment does not assess the distribution of fat which is very essential in determining metabolic obesity hence it may lead to misdiagnosis among people with metabolic obesity. The cut-off point for BMI also differs across ethnicity, race, and gender. Caribbean, Africans, and South Asians may have lower cut-points. One of the examples is differences in gender where men are more masculine and taller than women who have more fat deposits around the hips and arms hence generalizing the cut-off may not yield reliable results. Therefore, experts should research different ethnicities and races to determine specific cut-offs.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