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Richter et al. (2018) stated that youth violence is a combination of various factors such as the experiences faced during the time of youth or the active interactions with society and people around them that is present during the time of their growth. Hence, a single factor cannot contribute towards “juvenile violence”. Moreover, presence of dangers cannot possibly lead to teenagers experiencing violence. Early in life, a child's animosity expresses itself. Infants are physically aggressive, and by the time they attend primary school, most children have learned to resolve conflicts and express their thoughts and feelings without resorting to violence (Ref-f275464). However, a small percentage of youngsters remain hostile, and if their disruptive behavior is not addressed, their hostility can stay and worsen (Ref-f275464). Future violence among teenagers is often connected with various characteristics along with physical aggressiveness. These characteristics involve impulsiveness, emotional control and various others (Ref-f275464). Before aggressive habits establish and become more difficult to stop, these indicators provide a chance to modify behaviors and settings (Ref-f275464).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