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marketing communications should address the people in the first place, “by integrating people with people” (Ref-s455889). This requires profound knowledge of the cultural background. To predict customer behavior, the company must understand its cultural dissimilarities. By learning about another culture, it is possible to understand how people communicate with each other. Therefore, it helps understand what drives them to choose one product or service over another. In some way, it depends on whether they manage to decode the company’s message. For instance, different countries rely on different levels of politeness, Japan is a vivid example. Other countries rely on the factor of whether the message is direct or indirect. Moreover, some countries rely on emotional appeal, while the rest relies on expertise or professionalism. Another issue that the company should consider is the usage of humor in marketing communications. Jokes may sound offensive in some countries due to their unique cultural background. It should be noted that each country has sensitive topics, which should be discussed in a non-offensive manner. Among them are gender roles and religion.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