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cultural aspect is also influenced by the economic situation in the country. Countries with a low level of income may find the product less relevant if the message is not articulated well and does not reflect the special needs of the community. In other words, the customer should have a motive to buy a product, “when the buyer is experiencing any one of nine basic purchase motivations or motives” (Ref-u282838). If the marketer does not know what cultural aspects influence the demand, it prevents successful communication with the customers.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