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Depending on their qualifications in this sector, the line managers can be left in charge of setting the long-term strategic vision of the firm’s present and future remuneration per their understanding of market trends and the institution's development plan. For example, they are in charge of providing insurance (life, disability, worker’s compensation, medical, dental, and unemployment), maternity leave, vacation pay, holiday pay, and other benefits such as stock options, pension pays, bonuses, and profit-sharing.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