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overnment should innovate mediums to gain different approval in multiple states before a new technology can become fully recognized and registered. Emission from these industries has adverse effects well-being of people yet we failed to develop a culture of continuous environmental improvement to work with EPA’s pollution prevention policy statement. The permitting requirement of the proposal subtitle should be multimedia. Where one permit would cover and eliminate RCRA that are exi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