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Two companies were selected based on Fortune’s Global 500 list: Amazon and Otto GmbH &amp;amp; Co KG (“Otto Group”). Prior to continued analysis on these companies, it shall be mentioned that Fortune Global 500 offers a “change the world” filter, where few, if any companies outside of the United States fit this criteria. Each of the firms is profitable. In pursuing career goals and determining whether to transition from the United States to a foreign territory (Germany), culture, profitability of the companies offered, and the overall economic success of the country are variables that will be analyzed in making the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