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Pharmaceutical companies were also chief stakeholders in the policymaking process because they were impacted directly by the instigated statutes. For example, the organizations were required to sell medications at affordable costs to ensure that the consumers received value for their money. Therefore, they had to give substantial discounts, which reduced their profit margins (Ref-u145541). Consequently, they were key participants in lobbying against the instigation of such disadvantageous tenets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