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Situation 17 is unethical. According to the ACA Code of ethics section C.2.a, it clearly states that counselors should work exclusively within their field of expertise, as determined by their education, training, mentoring programs, national and state professional qualifications, and relevant professional experience (Ref-s628776). The action by the professional counselor may have caused substantial harm to the client. Therefore, to resolve it, one needs to bring it before the ethical committee either at the state or federal level for appropriate action. One can also refer the case to the ethical committee of the certification body and the appropriate institutional authorities.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