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Both BAV and CoA can be present together and most commonly associated with aortic or mitral valve stenosis and malformation (Ref-f602661). The main focus of this review is on etiology, epidemiology, pathophysiology, evaluation and diagnosis, treatment as well as postoperative complications and prognosis.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