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Accurate diagnosis of the severity of a burn injury is important as it informs treatment decisions. Jeschke et al. (Ref-s642506) identified two levels of diagnosing burn injuries namely, the primary and secondary survey. In the primary survey, it is often conducted at the scene of accident which consist of immediate standardized assessment, in this order of: the airway, breathing, ventilation, circulation and cardiac status, disability, neurological deficit, gross deformity and degree of exposure (Ref-s642506). To prevent hypothermia, especially in children and the elderly, it is expected that the primary survey is conducted while maintaining a warm environment. In the secondary survey, it is either conducted in the emergency department or the burn center and it consists of laboratory analyses and imaging, tetanus prophylaxis, blood count, arterial blood gas measurement, electrolyte assessment, and coagulation profile. The secondary survey is crucial as it ensures a definitive evaluation of the burn severity including depth and size based on total body surface affected. In the care and treatment of burn injuries, Jeschke et al. (Ref-s642506) recommend that first aid treatment should provided and usually sufficient in treating minor burn injuries. Although more severe burn injuries would benefit from the procedures of first aid treatment, they just be provided with another four components of care once admitted: resuscitation; burn-wound coverage; critical and supportive care; and rehabilitation.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