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ly, the emotional development of the child is impacted. The child develops positive emotions as they successfully steer the car to his/her intended destination. More so, by trying to either remove obstacles on the path or steering the car through another route, the child learns to deal with unpleasant situations in better ways. Having to overcome obstacles or hindrances on his or her path while playing with the toy car will consequently help the child to develop emotional stability and the ability to overcome their frustrations by devising means out of a predicament. Also, having a space for another child right beside the driver's seat allows the child to be in and appreciate the company of others, thereby contributing to the child's social and relation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