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RL could take place in firms for many reasons, including defect products, product recall, disposal, end of life return, service return, warranty return, and use return. RL manages the flow of products or recycled products that starts from the consumer and ends at the supplier aiming at value creation, environmental protection, and cost minimization. Firms that developed over time and build logistics capabilities, including planning and controlling, agility, and lean production can find difficulties to transfer products into RL. Factors that limit the process of RL capabilities are represented in poor integration of processes and activities, lack of infrastructure, and absence of RL in strategic planning. There are key trends in the RL development required to create a sustainable production cycle for further social development. Building the model of the RL processes could be implemented based on various methods. Software applications can automate the process of managing returned products from the point of product return by the customer. The EPA sets regulations and guiding policies to ensure safe management and cleanup of waste according to the RCRA.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