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Khung Tính Toán Hệ Số Credit (x, y)</w:t>
      </w:r>
    </w:p>
    <w:p>
      <w:pPr>
        <w:spacing w:after="300"/>
      </w:pPr>
      <w:r>
        <w:rPr>
          <w:i/>
          <w:iCs/>
          <w:color w:val="555555"/>
        </w:rPr>
        <w:t xml:space="preserve">Dự án TransFlow Media — Tổng hợp phân tích công thức tính Credit cho mỗi thao tác AI</w:t>
      </w:r>
    </w:p>
    <w:p>
      <w:pPr>
        <w:pStyle w:val="Heading1"/>
        <w:spacing w:after="160" w:before="320"/>
      </w:pPr>
      <w:r>
        <w:t xml:space="preserve">1. Bối cảnh — Công thức Credit hiện tại</w:t>
      </w:r>
    </w:p>
    <w:p>
      <w:pPr>
        <w:spacing w:after="140"/>
      </w:pPr>
      <w:r>
        <w:t xml:space="preserve">Theo SRS (§5.6) và System Architecture (§10.2), số Credit tiêu tốn cho mỗi thao tác AI được tính dựa trên việc người TRỰC TIẾP THỰC HIỆN thao tác đó có tự cấu hình API key cá nhân (BYOK) hay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shd w:fill="D9E2F3" w:val="clear"/>
            <w:tcMar>
              <w:top w:type="dxa" w:w="80"/>
              <w:left w:type="dxa" w:w="100"/>
              <w:bottom w:type="dxa" w:w="80"/>
              <w:right w:type="dxa" w:w="100"/>
            </w:tcMar>
          </w:tcPr>
          <w:p>
            <w:pPr>
              <w:jc w:val="left"/>
            </w:pPr>
            <w:r>
              <w:rPr>
                <w:b/>
                <w:bCs/>
              </w:rPr>
              <w:t xml:space="preserve">Trường hợp</w:t>
            </w:r>
          </w:p>
        </w:tc>
        <w:tc>
          <w:tcPr>
            <w:tcW w:type="dxa" w:w="4800"/>
            <w:shd w:fill="D9E2F3" w:val="clear"/>
            <w:tcMar>
              <w:top w:type="dxa" w:w="80"/>
              <w:left w:type="dxa" w:w="100"/>
              <w:bottom w:type="dxa" w:w="80"/>
              <w:right w:type="dxa" w:w="100"/>
            </w:tcMar>
          </w:tcPr>
          <w:p>
            <w:pPr>
              <w:jc w:val="left"/>
            </w:pPr>
            <w:r>
              <w:rPr>
                <w:b/>
                <w:bCs/>
              </w:rPr>
              <w:t xml:space="preserve">Điều kiện</w:t>
            </w:r>
          </w:p>
        </w:tc>
        <w:tc>
          <w:tcPr>
            <w:tcW w:type="dxa" w:w="3360"/>
            <w:shd w:fill="D9E2F3" w:val="clear"/>
            <w:tcMar>
              <w:top w:type="dxa" w:w="80"/>
              <w:left w:type="dxa" w:w="100"/>
              <w:bottom w:type="dxa" w:w="80"/>
              <w:right w:type="dxa" w:w="100"/>
            </w:tcMar>
          </w:tcPr>
          <w:p>
            <w:pPr>
              <w:jc w:val="left"/>
            </w:pPr>
            <w:r>
              <w:rPr>
                <w:b/>
                <w:bCs/>
              </w:rPr>
              <w:t xml:space="preserve">Công thức</w:t>
            </w:r>
          </w:p>
        </w:tc>
      </w:tr>
      <w:tr>
        <w:tc>
          <w:tcPr>
            <w:tcW w:type="dxa" w:w="1200"/>
            <w:tcMar>
              <w:top w:type="dxa" w:w="80"/>
              <w:left w:type="dxa" w:w="100"/>
              <w:bottom w:type="dxa" w:w="80"/>
              <w:right w:type="dxa" w:w="100"/>
            </w:tcMar>
          </w:tcPr>
          <w:p>
            <w:pPr>
              <w:jc w:val="left"/>
            </w:pPr>
            <w:r>
              <w:rPr>
                <w:b w:val="false"/>
                <w:bCs w:val="false"/>
              </w:rPr>
              <w:t xml:space="preserve">1</w:t>
            </w:r>
          </w:p>
        </w:tc>
        <w:tc>
          <w:tcPr>
            <w:tcW w:type="dxa" w:w="4800"/>
            <w:tcMar>
              <w:top w:type="dxa" w:w="80"/>
              <w:left w:type="dxa" w:w="100"/>
              <w:bottom w:type="dxa" w:w="80"/>
              <w:right w:type="dxa" w:w="100"/>
            </w:tcMar>
          </w:tcPr>
          <w:p>
            <w:pPr>
              <w:jc w:val="left"/>
            </w:pPr>
            <w:r>
              <w:rPr>
                <w:b w:val="false"/>
                <w:bCs w:val="false"/>
              </w:rPr>
              <w:t xml:space="preserve">Người thực hiện có API key cá nhân (BYOK)</w:t>
            </w:r>
          </w:p>
        </w:tc>
        <w:tc>
          <w:tcPr>
            <w:tcW w:type="dxa" w:w="3360"/>
            <w:tcMar>
              <w:top w:type="dxa" w:w="80"/>
              <w:left w:type="dxa" w:w="100"/>
              <w:bottom w:type="dxa" w:w="80"/>
              <w:right w:type="dxa" w:w="100"/>
            </w:tcMar>
          </w:tcPr>
          <w:p>
            <w:pPr>
              <w:jc w:val="left"/>
            </w:pPr>
            <w:r>
              <w:rPr>
                <w:b w:val="false"/>
                <w:bCs w:val="false"/>
              </w:rPr>
              <w:t xml:space="preserve">Credit = x × Số token đã dùng</w:t>
            </w:r>
          </w:p>
        </w:tc>
      </w:tr>
      <w:tr>
        <w:tc>
          <w:tcPr>
            <w:tcW w:type="dxa" w:w="1200"/>
            <w:tcMar>
              <w:top w:type="dxa" w:w="80"/>
              <w:left w:type="dxa" w:w="100"/>
              <w:bottom w:type="dxa" w:w="80"/>
              <w:right w:type="dxa" w:w="100"/>
            </w:tcMar>
          </w:tcPr>
          <w:p>
            <w:pPr>
              <w:jc w:val="left"/>
            </w:pPr>
            <w:r>
              <w:rPr>
                <w:b w:val="false"/>
                <w:bCs w:val="false"/>
              </w:rPr>
              <w:t xml:space="preserve">2</w:t>
            </w:r>
          </w:p>
        </w:tc>
        <w:tc>
          <w:tcPr>
            <w:tcW w:type="dxa" w:w="4800"/>
            <w:tcMar>
              <w:top w:type="dxa" w:w="80"/>
              <w:left w:type="dxa" w:w="100"/>
              <w:bottom w:type="dxa" w:w="80"/>
              <w:right w:type="dxa" w:w="100"/>
            </w:tcMar>
          </w:tcPr>
          <w:p>
            <w:pPr>
              <w:jc w:val="left"/>
            </w:pPr>
            <w:r>
              <w:rPr>
                <w:b w:val="false"/>
                <w:bCs w:val="false"/>
              </w:rPr>
              <w:t xml:space="preserve">Không có API key cá nhân (dùng nguồn AI nền tảng)</w:t>
            </w:r>
          </w:p>
        </w:tc>
        <w:tc>
          <w:tcPr>
            <w:tcW w:type="dxa" w:w="3360"/>
            <w:tcMar>
              <w:top w:type="dxa" w:w="80"/>
              <w:left w:type="dxa" w:w="100"/>
              <w:bottom w:type="dxa" w:w="80"/>
              <w:right w:type="dxa" w:w="100"/>
            </w:tcMar>
          </w:tcPr>
          <w:p>
            <w:pPr>
              <w:jc w:val="left"/>
            </w:pPr>
            <w:r>
              <w:rPr>
                <w:b w:val="false"/>
                <w:bCs w:val="false"/>
              </w:rPr>
              <w:t xml:space="preserve">Credit = (x × Số token đã dùng) + (y × Số token đã dùng)</w:t>
            </w:r>
          </w:p>
        </w:tc>
      </w:tr>
    </w:tbl>
    <w:p>
      <w:pPr>
        <w:spacing w:after="120" w:before="200"/>
      </w:pPr>
    </w:p>
    <w:p>
      <w:pPr>
        <w:pStyle w:val="ListParagraph"/>
        <w:numPr>
          <w:ilvl w:val="0"/>
          <w:numId w:val="1"/>
        </w:numPr>
        <w:spacing w:after="80"/>
      </w:pPr>
      <w:r>
        <w:t xml:space="preserve">x = hệ số phí hạ tầng vận hành — áp dụng cho MỌI trường hợp.</w:t>
      </w:r>
    </w:p>
    <w:p>
      <w:pPr>
        <w:pStyle w:val="ListParagraph"/>
        <w:numPr>
          <w:ilvl w:val="0"/>
          <w:numId w:val="1"/>
        </w:numPr>
        <w:spacing w:after="80"/>
      </w:pPr>
      <w:r>
        <w:t xml:space="preserve">y = hệ số quy đổi chi phí token thực tế (nền tảng phải trả cho nhà cung cấp AI) sang Credit — chỉ áp dụng ở Trường hợp 2.</w:t>
      </w:r>
    </w:p>
    <w:p>
      <w:pPr>
        <w:spacing w:after="140"/>
      </w:pPr>
      <w:r>
        <w:t xml:space="preserve"/>
      </w:r>
    </w:p>
    <w:p>
      <w:pPr>
        <w:spacing w:after="140"/>
      </w:pPr>
      <w:r>
        <w:rPr>
          <w:i/>
          <w:iCs/>
        </w:rPr>
        <w:t xml:space="preserve">x và y được thiết kế là dữ liệu cấu hình runtime trong bảng credit_pricing_config (infra_coefficient_x, token_coefficient_y), không hard-code — cho phép khác nhau theo capability (STT, Translate, TTS, Summarize, Render, Vision) và provider_scope.</w:t>
      </w:r>
    </w:p>
    <w:p>
      <w:pPr>
        <w:spacing w:after="140"/>
      </w:pPr>
      <w:r>
        <w:rPr>
          <w:b/>
          <w:bCs/>
        </w:rPr>
        <w:t xml:space="preserve">Hiện trạng: Cả x và y đều chưa được chốt số liệu — đây là điểm treo được liệt kê rõ trong SRS §7.2 (mục 2) và User Story Mapping (mục #1): “Hệ số giá token y sẽ được xác định như thế nào — cố định toàn hệ thống hay khác theo loại thao tác / nhà cung cấp AI?”</w:t>
      </w:r>
    </w:p>
    <w:p>
      <w:pPr>
        <w:pStyle w:val="Heading1"/>
        <w:spacing w:after="160" w:before="320"/>
      </w:pPr>
      <w:r>
        <w:t xml:space="preserve">2. Khung tính hệ số x — Phí hạ tầng</w:t>
      </w:r>
    </w:p>
    <w:p>
      <w:pPr>
        <w:spacing w:after="140"/>
      </w:pPr>
      <w:r>
        <w:t xml:space="preserve">x phản ánh chi phí vận hành nền tảng cho mỗi token xử lý — độc lập với việc AI có free hay không, vì server, storage, băng thông, worker... vẫn tốn chi phí thật.</w:t>
      </w:r>
    </w:p>
    <w:p>
      <w:pPr>
        <w:pStyle w:val="Heading3"/>
        <w:spacing w:after="100" w:before="200"/>
      </w:pPr>
      <w:r>
        <w:t xml:space="preserve">Công thức đề xuất</w:t>
      </w:r>
    </w:p>
    <w:p>
      <w:pPr>
        <w:pBdr>
          <w:top w:val="single" w:color="CCCCCC" w:sz="4"/>
          <w:bottom w:val="single" w:color="CCCCCC" w:sz="4"/>
          <w:left w:val="single" w:color="CCCCCC" w:sz="4"/>
          <w:right w:val="single" w:color="CCCCCC" w:sz="4"/>
        </w:pBdr>
        <w:shd w:fill="F2F2F2" w:val="clear"/>
        <w:spacing w:after="200" w:before="100"/>
      </w:pPr>
      <w:r>
        <w:rPr>
          <w:b/>
          <w:bCs/>
          <w:color w:val="1F4E5F"/>
          <w:sz w:val="21"/>
          <w:szCs w:val="21"/>
        </w:rPr>
        <w:t xml:space="preserve">x = (Tổng chi phí hạ tầng / kỳ) ÷ (Tổng số token xử lý dự kiến / kỳ) × (1 + biên lợi nhuận)</w:t>
      </w:r>
    </w:p>
    <w:p>
      <w:pPr>
        <w:pStyle w:val="Heading3"/>
        <w:spacing w:after="100" w:before="200"/>
      </w:pPr>
      <w:r>
        <w:t xml:space="preserve">Các thành phần cần thu thập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D9E2F3" w:val="clear"/>
            <w:tcMar>
              <w:top w:type="dxa" w:w="80"/>
              <w:left w:type="dxa" w:w="100"/>
              <w:bottom w:type="dxa" w:w="80"/>
              <w:right w:type="dxa" w:w="100"/>
            </w:tcMar>
          </w:tcPr>
          <w:p>
            <w:pPr>
              <w:jc w:val="left"/>
            </w:pPr>
            <w:r>
              <w:rPr>
                <w:b/>
                <w:bCs/>
              </w:rPr>
              <w:t xml:space="preserve">Thành phần</w:t>
            </w:r>
          </w:p>
        </w:tc>
        <w:tc>
          <w:tcPr>
            <w:tcW w:type="dxa" w:w="5560"/>
            <w:shd w:fill="D9E2F3" w:val="clear"/>
            <w:tcMar>
              <w:top w:type="dxa" w:w="80"/>
              <w:left w:type="dxa" w:w="100"/>
              <w:bottom w:type="dxa" w:w="80"/>
              <w:right w:type="dxa" w:w="100"/>
            </w:tcMar>
          </w:tcPr>
          <w:p>
            <w:pPr>
              <w:jc w:val="left"/>
            </w:pPr>
            <w:r>
              <w:rPr>
                <w:b/>
                <w:bCs/>
              </w:rPr>
              <w:t xml:space="preserve">Ví dụ nguồn dữ liệu</w:t>
            </w:r>
          </w:p>
        </w:tc>
      </w:tr>
      <w:tr>
        <w:tc>
          <w:tcPr>
            <w:tcW w:type="dxa" w:w="3800"/>
            <w:tcMar>
              <w:top w:type="dxa" w:w="80"/>
              <w:left w:type="dxa" w:w="100"/>
              <w:bottom w:type="dxa" w:w="80"/>
              <w:right w:type="dxa" w:w="100"/>
            </w:tcMar>
          </w:tcPr>
          <w:p>
            <w:pPr>
              <w:jc w:val="left"/>
            </w:pPr>
            <w:r>
              <w:rPr>
                <w:b w:val="false"/>
                <w:bCs w:val="false"/>
              </w:rPr>
              <w:t xml:space="preserve">Chi phí server/worker xử lý job (compute)</w:t>
            </w:r>
          </w:p>
        </w:tc>
        <w:tc>
          <w:tcPr>
            <w:tcW w:type="dxa" w:w="5560"/>
            <w:tcMar>
              <w:top w:type="dxa" w:w="80"/>
              <w:left w:type="dxa" w:w="100"/>
              <w:bottom w:type="dxa" w:w="80"/>
              <w:right w:type="dxa" w:w="100"/>
            </w:tcMar>
          </w:tcPr>
          <w:p>
            <w:pPr>
              <w:jc w:val="left"/>
            </w:pPr>
            <w:r>
              <w:rPr>
                <w:b w:val="false"/>
                <w:bCs w:val="false"/>
              </w:rPr>
              <w:t xml:space="preserve">Hoá đơn cloud (EC2, GPU instance nếu tự host STT/TTS...)</w:t>
            </w:r>
          </w:p>
        </w:tc>
      </w:tr>
      <w:tr>
        <w:tc>
          <w:tcPr>
            <w:tcW w:type="dxa" w:w="3800"/>
            <w:tcMar>
              <w:top w:type="dxa" w:w="80"/>
              <w:left w:type="dxa" w:w="100"/>
              <w:bottom w:type="dxa" w:w="80"/>
              <w:right w:type="dxa" w:w="100"/>
            </w:tcMar>
          </w:tcPr>
          <w:p>
            <w:pPr>
              <w:jc w:val="left"/>
            </w:pPr>
            <w:r>
              <w:rPr>
                <w:b w:val="false"/>
                <w:bCs w:val="false"/>
              </w:rPr>
              <w:t xml:space="preserve">Chi phí storage (video gốc, output)</w:t>
            </w:r>
          </w:p>
        </w:tc>
        <w:tc>
          <w:tcPr>
            <w:tcW w:type="dxa" w:w="5560"/>
            <w:tcMar>
              <w:top w:type="dxa" w:w="80"/>
              <w:left w:type="dxa" w:w="100"/>
              <w:bottom w:type="dxa" w:w="80"/>
              <w:right w:type="dxa" w:w="100"/>
            </w:tcMar>
          </w:tcPr>
          <w:p>
            <w:pPr>
              <w:jc w:val="left"/>
            </w:pPr>
            <w:r>
              <w:rPr>
                <w:b w:val="false"/>
                <w:bCs w:val="false"/>
              </w:rPr>
              <w:t xml:space="preserve">Hoá đơn S3/GCS theo GB-tháng</w:t>
            </w:r>
          </w:p>
        </w:tc>
      </w:tr>
      <w:tr>
        <w:tc>
          <w:tcPr>
            <w:tcW w:type="dxa" w:w="3800"/>
            <w:tcMar>
              <w:top w:type="dxa" w:w="80"/>
              <w:left w:type="dxa" w:w="100"/>
              <w:bottom w:type="dxa" w:w="80"/>
              <w:right w:type="dxa" w:w="100"/>
            </w:tcMar>
          </w:tcPr>
          <w:p>
            <w:pPr>
              <w:jc w:val="left"/>
            </w:pPr>
            <w:r>
              <w:rPr>
                <w:b w:val="false"/>
                <w:bCs w:val="false"/>
              </w:rPr>
              <w:t xml:space="preserve">Chi phí băng thông (upload/download video)</w:t>
            </w:r>
          </w:p>
        </w:tc>
        <w:tc>
          <w:tcPr>
            <w:tcW w:type="dxa" w:w="5560"/>
            <w:tcMar>
              <w:top w:type="dxa" w:w="80"/>
              <w:left w:type="dxa" w:w="100"/>
              <w:bottom w:type="dxa" w:w="80"/>
              <w:right w:type="dxa" w:w="100"/>
            </w:tcMar>
          </w:tcPr>
          <w:p>
            <w:pPr>
              <w:jc w:val="left"/>
            </w:pPr>
            <w:r>
              <w:rPr>
                <w:b w:val="false"/>
                <w:bCs w:val="false"/>
              </w:rPr>
              <w:t xml:space="preserve">Hoá đơn CDN / egress</w:t>
            </w:r>
          </w:p>
        </w:tc>
      </w:tr>
      <w:tr>
        <w:tc>
          <w:tcPr>
            <w:tcW w:type="dxa" w:w="3800"/>
            <w:tcMar>
              <w:top w:type="dxa" w:w="80"/>
              <w:left w:type="dxa" w:w="100"/>
              <w:bottom w:type="dxa" w:w="80"/>
              <w:right w:type="dxa" w:w="100"/>
            </w:tcMar>
          </w:tcPr>
          <w:p>
            <w:pPr>
              <w:jc w:val="left"/>
            </w:pPr>
            <w:r>
              <w:rPr>
                <w:b w:val="false"/>
                <w:bCs w:val="false"/>
              </w:rPr>
              <w:t xml:space="preserve">Chi phí vận hành khác phân bổ được</w:t>
            </w:r>
          </w:p>
        </w:tc>
        <w:tc>
          <w:tcPr>
            <w:tcW w:type="dxa" w:w="5560"/>
            <w:tcMar>
              <w:top w:type="dxa" w:w="80"/>
              <w:left w:type="dxa" w:w="100"/>
              <w:bottom w:type="dxa" w:w="80"/>
              <w:right w:type="dxa" w:w="100"/>
            </w:tcMar>
          </w:tcPr>
          <w:p>
            <w:pPr>
              <w:jc w:val="left"/>
            </w:pPr>
            <w:r>
              <w:rPr>
                <w:b w:val="false"/>
                <w:bCs w:val="false"/>
              </w:rPr>
              <w:t xml:space="preserve">Ước lượng % chi phí hạ tầng chung (queue, DB, logging)</w:t>
            </w:r>
          </w:p>
        </w:tc>
      </w:tr>
      <w:tr>
        <w:tc>
          <w:tcPr>
            <w:tcW w:type="dxa" w:w="3800"/>
            <w:tcMar>
              <w:top w:type="dxa" w:w="80"/>
              <w:left w:type="dxa" w:w="100"/>
              <w:bottom w:type="dxa" w:w="80"/>
              <w:right w:type="dxa" w:w="100"/>
            </w:tcMar>
          </w:tcPr>
          <w:p>
            <w:pPr>
              <w:jc w:val="left"/>
            </w:pPr>
            <w:r>
              <w:rPr>
                <w:b w:val="false"/>
                <w:bCs w:val="false"/>
              </w:rPr>
              <w:t xml:space="preserve">Số token xử lý dự kiến/tháng</w:t>
            </w:r>
          </w:p>
        </w:tc>
        <w:tc>
          <w:tcPr>
            <w:tcW w:type="dxa" w:w="5560"/>
            <w:tcMar>
              <w:top w:type="dxa" w:w="80"/>
              <w:left w:type="dxa" w:w="100"/>
              <w:bottom w:type="dxa" w:w="80"/>
              <w:right w:type="dxa" w:w="100"/>
            </w:tcMar>
          </w:tcPr>
          <w:p>
            <w:pPr>
              <w:jc w:val="left"/>
            </w:pPr>
            <w:r>
              <w:rPr>
                <w:b w:val="false"/>
                <w:bCs w:val="false"/>
              </w:rPr>
              <w:t xml:space="preserve">Ước lượng từ số job dự kiến × token trung bình/job</w:t>
            </w:r>
          </w:p>
        </w:tc>
      </w:tr>
      <w:tr>
        <w:tc>
          <w:tcPr>
            <w:tcW w:type="dxa" w:w="3800"/>
            <w:tcMar>
              <w:top w:type="dxa" w:w="80"/>
              <w:left w:type="dxa" w:w="100"/>
              <w:bottom w:type="dxa" w:w="80"/>
              <w:right w:type="dxa" w:w="100"/>
            </w:tcMar>
          </w:tcPr>
          <w:p>
            <w:pPr>
              <w:jc w:val="left"/>
            </w:pPr>
            <w:r>
              <w:rPr>
                <w:b w:val="false"/>
                <w:bCs w:val="false"/>
              </w:rPr>
              <w:t xml:space="preserve">Biên lợi nhuận mong muốn</w:t>
            </w:r>
          </w:p>
        </w:tc>
        <w:tc>
          <w:tcPr>
            <w:tcW w:type="dxa" w:w="5560"/>
            <w:tcMar>
              <w:top w:type="dxa" w:w="80"/>
              <w:left w:type="dxa" w:w="100"/>
              <w:bottom w:type="dxa" w:w="80"/>
              <w:right w:type="dxa" w:w="100"/>
            </w:tcMar>
          </w:tcPr>
          <w:p>
            <w:pPr>
              <w:jc w:val="left"/>
            </w:pPr>
            <w:r>
              <w:rPr>
                <w:b w:val="false"/>
                <w:bCs w:val="false"/>
              </w:rPr>
              <w:t xml:space="preserve">Quyết định kinh doanh (ví dụ 20–30%)</w:t>
            </w:r>
          </w:p>
        </w:tc>
      </w:tr>
    </w:tbl>
    <w:p>
      <w:pPr>
        <w:spacing w:before="200"/>
      </w:pPr>
    </w:p>
    <w:p>
      <w:pPr>
        <w:pStyle w:val="Heading3"/>
        <w:spacing w:after="100" w:before="200"/>
      </w:pPr>
      <w:r>
        <w:t xml:space="preserve">Ví dụ minh hoạ (số giả định)</w:t>
      </w:r>
    </w:p>
    <w:p>
      <w:pPr>
        <w:pStyle w:val="ListParagraph"/>
        <w:numPr>
          <w:ilvl w:val="0"/>
          <w:numId w:val="1"/>
        </w:numPr>
        <w:spacing w:after="80"/>
      </w:pPr>
      <w:r>
        <w:t xml:space="preserve">Chi phí hạ tầng/tháng: 20.000.000 VNĐ</w:t>
      </w:r>
    </w:p>
    <w:p>
      <w:pPr>
        <w:pStyle w:val="ListParagraph"/>
        <w:numPr>
          <w:ilvl w:val="0"/>
          <w:numId w:val="1"/>
        </w:numPr>
        <w:spacing w:after="80"/>
      </w:pPr>
      <w:r>
        <w:t xml:space="preserve">Token xử lý dự kiến/tháng: 50.000.000 token</w:t>
      </w:r>
    </w:p>
    <w:p>
      <w:pPr>
        <w:pStyle w:val="ListParagraph"/>
        <w:numPr>
          <w:ilvl w:val="0"/>
          <w:numId w:val="1"/>
        </w:numPr>
        <w:spacing w:after="80"/>
      </w:pPr>
      <w:r>
        <w:t xml:space="preserve">Biên lợi nhuận mong muốn: 25%</w:t>
      </w:r>
    </w:p>
    <w:p>
      <w:pPr>
        <w:pBdr>
          <w:top w:val="single" w:color="CCCCCC" w:sz="4"/>
          <w:bottom w:val="single" w:color="CCCCCC" w:sz="4"/>
          <w:left w:val="single" w:color="CCCCCC" w:sz="4"/>
          <w:right w:val="single" w:color="CCCCCC" w:sz="4"/>
        </w:pBdr>
        <w:shd w:fill="F2F2F2" w:val="clear"/>
        <w:spacing w:after="200" w:before="100"/>
      </w:pPr>
      <w:r>
        <w:rPr>
          <w:b/>
          <w:bCs/>
          <w:color w:val="1F4E5F"/>
          <w:sz w:val="21"/>
          <w:szCs w:val="21"/>
        </w:rPr>
        <w:t xml:space="preserve">x = (20.000.000 / 50.000.000) × 1.25 = 0.5 VNĐ/token</w:t>
      </w:r>
      <w:r>
        <w:rPr>
          <w:b/>
          <w:bCs/>
          <w:color w:val="1F4E5F"/>
          <w:sz w:val="21"/>
          <w:szCs w:val="21"/>
        </w:rPr>
        <w:br/>
        <w:t xml:space="preserve">(quy đổi tiếp sang Credit theo tỷ giá Credit ↔ VNĐ — xem Mục 4)</w:t>
      </w:r>
    </w:p>
    <w:p>
      <w:pPr>
        <w:pStyle w:val="Heading1"/>
        <w:spacing w:after="160" w:before="320"/>
      </w:pPr>
      <w:r>
        <w:t xml:space="preserve">3. Vấn đề với hệ số y khi provider đang dùng là free</w:t>
      </w:r>
    </w:p>
    <w:p>
      <w:pPr>
        <w:spacing w:after="140"/>
      </w:pPr>
      <w:r>
        <w:t xml:space="preserve">y chỉ có ý nghĩa khi có chi phí token thật để quy đổi — hiện tại = 0 vì các provider đang dùng đều miễn phí. Có 3 phương án, cần chọn 1 vì mỗi phương án dẫn tới hành vi sản phẩm khác nhau.</w:t>
      </w:r>
    </w:p>
    <w:p>
      <w:pPr>
        <w:pStyle w:val="Heading3"/>
        <w:spacing w:after="100" w:before="200"/>
      </w:pPr>
      <w:r>
        <w:t xml:space="preserve">Phương án A — y = 0 tạm thời</w:t>
      </w:r>
    </w:p>
    <w:p>
      <w:pPr>
        <w:pStyle w:val="ListParagraph"/>
        <w:numPr>
          <w:ilvl w:val="0"/>
          <w:numId w:val="1"/>
        </w:numPr>
        <w:spacing w:after="80"/>
      </w:pPr>
      <w:r>
        <w:t xml:space="preserve">Trung thực với chi phí thực: Trường hợp 1 và Trường hợp 2 tốn Credit như nhau.</w:t>
      </w:r>
    </w:p>
    <w:p>
      <w:pPr>
        <w:pStyle w:val="ListParagraph"/>
        <w:numPr>
          <w:ilvl w:val="0"/>
          <w:numId w:val="1"/>
        </w:numPr>
        <w:spacing w:after="80"/>
      </w:pPr>
      <w:r>
        <w:t xml:space="preserve">Rủi ro: mất động lực khuyến khích user tự cấu hình BYOK, vì dùng nguồn nền tảng không tốn thêm gì.</w:t>
      </w:r>
    </w:p>
    <w:p>
      <w:pPr>
        <w:pStyle w:val="ListParagraph"/>
        <w:numPr>
          <w:ilvl w:val="0"/>
          <w:numId w:val="1"/>
        </w:numPr>
        <w:spacing w:after="80"/>
      </w:pPr>
      <w:r>
        <w:t xml:space="preserve">Phù hợp nếu: mục tiêu hiện tại chỉ cần thu hồi chi phí hạ tầng, chưa cần phân biệt.</w:t>
      </w:r>
    </w:p>
    <w:p>
      <w:pPr>
        <w:pStyle w:val="Heading3"/>
        <w:spacing w:after="100" w:before="200"/>
      </w:pPr>
      <w:r>
        <w:t xml:space="preserve">Phương án B — “Shadow price” (giá dự phòng) dựa trên thị trường  —  Khuyến nghị</w:t>
      </w:r>
    </w:p>
    <w:p>
      <w:pPr>
        <w:pStyle w:val="ListParagraph"/>
        <w:numPr>
          <w:ilvl w:val="0"/>
          <w:numId w:val="1"/>
        </w:numPr>
        <w:spacing w:after="80"/>
      </w:pPr>
      <w:r>
        <w:t xml:space="preserve">Lấy giá token trung bình của các provider tương đương trên thị trường (dù đang dùng bản free) làm giá tham chiếu, nhân hệ số quy đổi sang Credit.</w:t>
      </w:r>
    </w:p>
    <w:p>
      <w:pPr>
        <w:pStyle w:val="ListParagraph"/>
        <w:numPr>
          <w:ilvl w:val="0"/>
          <w:numId w:val="1"/>
        </w:numPr>
        <w:spacing w:after="80"/>
      </w:pPr>
      <w:r>
        <w:t xml:space="preserve">y = Giá thị trường trung bình ($/token) × Tỷ giá quy đổi sang Credit</w:t>
      </w:r>
    </w:p>
    <w:p>
      <w:pPr>
        <w:pStyle w:val="ListParagraph"/>
        <w:numPr>
          <w:ilvl w:val="0"/>
          <w:numId w:val="1"/>
        </w:numPr>
        <w:spacing w:after="80"/>
      </w:pPr>
      <w:r>
        <w:t xml:space="preserve">Mục đích: (1) chuẩn bị sẵn cho ngày provider hết free/tính phí, không phải sửa kiến trúc; (2) vẫn tạo chênh lệch Credit giữa BYOK và non-BYOK để khuyến khích user tự mang API key, giảm tải rate-limit của nguồn free.</w:t>
      </w:r>
    </w:p>
    <w:p>
      <w:pPr>
        <w:pStyle w:val="Heading3"/>
        <w:spacing w:after="100" w:before="200"/>
      </w:pPr>
      <w:r>
        <w:t xml:space="preserve">Phương án C — Phí “rủi ro/quota” thay vì phí token</w:t>
      </w:r>
    </w:p>
    <w:p>
      <w:pPr>
        <w:pStyle w:val="ListParagraph"/>
        <w:numPr>
          <w:ilvl w:val="0"/>
          <w:numId w:val="1"/>
        </w:numPr>
        <w:spacing w:after="80"/>
      </w:pPr>
      <w:r>
        <w:t xml:space="preserve">Vì dùng provider free thường đi kèm rate limit/quota giới hạn, y có thể đại diện cho “chi phí cơ hội” khi hệ thống phải dùng slot quota chung.</w:t>
      </w:r>
    </w:p>
    <w:p>
      <w:pPr>
        <w:pStyle w:val="ListParagraph"/>
        <w:numPr>
          <w:ilvl w:val="0"/>
          <w:numId w:val="1"/>
        </w:numPr>
        <w:spacing w:after="80"/>
      </w:pPr>
      <w:r>
        <w:t xml:space="preserve">Phức tạp hơn, chỉ nên cân nhắc nếu quota thực sự là điểm nghẽn.</w:t>
      </w:r>
    </w:p>
    <w:p>
      <w:pPr>
        <w:spacing w:after="140"/>
      </w:pPr>
      <w:r>
        <w:rPr>
          <w:b/>
          <w:bCs/>
        </w:rPr>
        <w:t xml:space="preserve">Khuyến nghị: Phương án B — vừa trung thực về việc “sẽ tốn tiền nếu không BYOK”, vừa không cần sửa schema/công thức khi provider chuyển sang tính phí (đúng tinh thần thiết kế hiện tại: y đã lưu ở credit_pricing_config, khác nhau theo capability/provider_scope).</w:t>
      </w:r>
    </w:p>
    <w:p>
      <w:pPr>
        <w:pStyle w:val="Heading3"/>
        <w:spacing w:after="100" w:before="200"/>
      </w:pPr>
      <w:r>
        <w:t xml:space="preserve">Cách cập nhật khi provider bắt đầu tính phí thật</w:t>
      </w:r>
    </w:p>
    <w:p>
      <w:pPr>
        <w:spacing w:after="140"/>
      </w:pPr>
      <w:r>
        <w:t xml:space="preserve">Vì x, y là runtime config (không hard-code), quy trình chuyển đổi rất đơn giản: khi provider free chuyển sang trả phí, chỉ cần insert row mới vào credit_pricing_config với effective_from mới, y = giá thực tế × tỷ giá — không cần đổi code hay công thức.</w:t>
      </w:r>
    </w:p>
    <w:p>
      <w:pPr>
        <w:pStyle w:val="Heading1"/>
        <w:spacing w:after="160" w:before="320"/>
      </w:pPr>
      <w:r>
        <w:t xml:space="preserve">4. Khung tính hệ số thuần túy (x, y là hệ số, không phải giá trị)</w:t>
      </w:r>
    </w:p>
    <w:p>
      <w:pPr>
        <w:spacing w:after="140"/>
      </w:pPr>
      <w:r>
        <w:t xml:space="preserve">Mục tiêu: quy ước tỷ giá Credit/token = 1 ở một kịch bản chuẩn, để x và y trở thành hệ số vô hướng (dimensionless) thay vì đơn vị tiền tệ. Vấn đề cốt lõi cần giải quyết là tìm “tỷ giá gốc” P (VND → Credit) làm mẫu số quy đổi.</w:t>
      </w:r>
    </w:p>
    <w:p>
      <w:pPr>
        <w:spacing w:after="140"/>
      </w:pPr>
      <w:r>
        <w:rPr>
          <w:i/>
          <w:iCs/>
        </w:rPr>
        <w:t xml:space="preserve">Ý tưởng: x, y chỉ là hệ số thuần khi có một tỷ giá P (1 Credit = P VNĐ). Một khi có P, mọi chi phí VND đều chia cho P để ra hệ số. P được chọn dựa trên 1 kịch bản tham chiếu, sao cho tại kịch bản đó tổng hệ số đúng bằng 1 (1 token chuẩn = 1 Credit).</w:t>
      </w:r>
    </w:p>
    <w:p>
      <w:pPr>
        <w:pStyle w:val="Heading3"/>
        <w:spacing w:after="100" w:before="200"/>
      </w:pPr>
      <w:r>
        <w:t xml:space="preserve">Bước 1 — Chọn 1 nghiệp vụ tham chiếu (reference capability)</w:t>
      </w:r>
    </w:p>
    <w:p>
      <w:pPr>
        <w:spacing w:after="140"/>
      </w:pPr>
      <w:r>
        <w:t xml:space="preserve">Chọn nghiệp vụ đại diện, phổ biến nhất (ví dụ: Translate / Dịch phụ đề — vì đây là core). Mọi bước sau tính dựa trên nghiệp vụ này trước.</w:t>
      </w:r>
    </w:p>
    <w:p>
      <w:pPr>
        <w:pStyle w:val="Heading3"/>
        <w:spacing w:after="100" w:before="200"/>
      </w:pPr>
      <w:r>
        <w:t xml:space="preserve">Bước 2 — Tính 2 loại chi phí thực cho 1 token của nghiệp vụ đó (VND/token)</w:t>
      </w:r>
    </w:p>
    <w:p>
      <w:pPr>
        <w:pStyle w:val="ListParagraph"/>
        <w:numPr>
          <w:ilvl w:val="0"/>
          <w:numId w:val="1"/>
        </w:numPr>
        <w:spacing w:after="80"/>
      </w:pPr>
      <w:r>
        <w:t xml:space="preserve">C_infra = chi phí hạ tầng phân bổ cho 1 token (theo công thức ở Mục 2).</w:t>
      </w:r>
    </w:p>
    <w:p>
      <w:pPr>
        <w:pStyle w:val="ListParagraph"/>
        <w:numPr>
          <w:ilvl w:val="0"/>
          <w:numId w:val="1"/>
        </w:numPr>
        <w:spacing w:after="80"/>
      </w:pPr>
      <w:r>
        <w:t xml:space="preserve">C_market = giá thị trường (shadow price) của model tương đương — dù đang dùng bản free, vẫn tra giá niêm yết chính thức của provider đó (hoặc provider cùng hạng) cho loại tác vụ này.</w:t>
      </w:r>
    </w:p>
    <w:p>
      <w:pPr>
        <w:pStyle w:val="Heading3"/>
        <w:spacing w:after="100" w:before="200"/>
      </w:pPr>
      <w:r>
        <w:t xml:space="preserve">Bước 3 — Xác định tỷ giá gốc P (VND/Credit)</w:t>
      </w:r>
    </w:p>
    <w:p>
      <w:pPr>
        <w:pBdr>
          <w:top w:val="single" w:color="CCCCCC" w:sz="4"/>
          <w:bottom w:val="single" w:color="CCCCCC" w:sz="4"/>
          <w:left w:val="single" w:color="CCCCCC" w:sz="4"/>
          <w:right w:val="single" w:color="CCCCCC" w:sz="4"/>
        </w:pBdr>
        <w:shd w:fill="F2F2F2" w:val="clear"/>
        <w:spacing w:after="200" w:before="100"/>
      </w:pPr>
      <w:r>
        <w:rPr>
          <w:b/>
          <w:bCs/>
          <w:color w:val="1F4E5F"/>
          <w:sz w:val="21"/>
          <w:szCs w:val="21"/>
        </w:rPr>
        <w:t xml:space="preserve">P = C_infra + C_market   (tại nghiệp vụ tham chiếu)</w:t>
      </w:r>
    </w:p>
    <w:p>
      <w:pPr>
        <w:spacing w:after="140"/>
      </w:pPr>
      <w:r>
        <w:t xml:space="preserve">Đây chính là câu trả lời cho việc quy đổi VND → Credit: 1 Credit = P VNĐ, được neo vào đúng chi phí thực (hạ tầng + token thị trường) của 1 token ở nghiệp vụ tham chiếu. P dùng chung cho: định giá gói Credit bán ra, và quy đổi số Credit miễn phí ban đầu ra giá trị VND tương đương.</w:t>
      </w:r>
    </w:p>
    <w:p>
      <w:pPr>
        <w:pStyle w:val="Heading3"/>
        <w:spacing w:after="100" w:before="200"/>
      </w:pPr>
      <w:r>
        <w:t xml:space="preserve">Bước 4 — Suy ra x, y cho nghiệp vụ tham chiếu</w:t>
      </w:r>
    </w:p>
    <w:p>
      <w:pPr>
        <w:pBdr>
          <w:top w:val="single" w:color="CCCCCC" w:sz="4"/>
          <w:bottom w:val="single" w:color="CCCCCC" w:sz="4"/>
          <w:left w:val="single" w:color="CCCCCC" w:sz="4"/>
          <w:right w:val="single" w:color="CCCCCC" w:sz="4"/>
        </w:pBdr>
        <w:shd w:fill="F2F2F2" w:val="clear"/>
        <w:spacing w:after="200" w:before="100"/>
      </w:pPr>
      <w:r>
        <w:rPr>
          <w:b/>
          <w:bCs/>
          <w:color w:val="1F4E5F"/>
          <w:sz w:val="21"/>
          <w:szCs w:val="21"/>
        </w:rPr>
        <w:t xml:space="preserve">x_ref = C_infra / P</w:t>
      </w:r>
      <w:r>
        <w:rPr>
          <w:b/>
          <w:bCs/>
          <w:color w:val="1F4E5F"/>
          <w:sz w:val="21"/>
          <w:szCs w:val="21"/>
        </w:rPr>
        <w:br/>
        <w:t xml:space="preserve">y_ref = C_market / P</w:t>
      </w:r>
    </w:p>
    <w:p>
      <w:pPr>
        <w:spacing w:after="140"/>
      </w:pPr>
      <w:r>
        <w:rPr>
          <w:b/>
          <w:bCs/>
        </w:rPr>
        <w:t xml:space="preserve">Theo cách dựng này, x_ref + y_ref = 1 LUÔN ĐÚNG — đúng ý muốn: 1 token, không BYOK, ở nghiệp vụ chuẩn = đúng 1 Credit.</w:t>
      </w:r>
    </w:p>
    <w:p>
      <w:pPr>
        <w:pStyle w:val="Heading3"/>
        <w:spacing w:after="100" w:before="200"/>
      </w:pPr>
      <w:r>
        <w:t xml:space="preserve">Bước 5 — Áp dụng cho các nghiệp vụ khác (STT, TTS, tóm tắt, render, vision...)</w:t>
      </w:r>
    </w:p>
    <w:p>
      <w:pPr>
        <w:spacing w:after="140"/>
      </w:pPr>
      <w:r>
        <w:t xml:space="preserve">P giữ nguyên (không đổi theo nghiệp vụ, vì đó là tỷ giá tiền tệ chung). Với mỗi nghiệp vụ khác, tính riêng C_infra và C_market của nó (giá thị trường theo đúng loại model dùng cho nghiệp vụ đó), rồi:</w:t>
      </w:r>
    </w:p>
    <w:p>
      <w:pPr>
        <w:pBdr>
          <w:top w:val="single" w:color="CCCCCC" w:sz="4"/>
          <w:bottom w:val="single" w:color="CCCCCC" w:sz="4"/>
          <w:left w:val="single" w:color="CCCCCC" w:sz="4"/>
          <w:right w:val="single" w:color="CCCCCC" w:sz="4"/>
        </w:pBdr>
        <w:shd w:fill="F2F2F2" w:val="clear"/>
        <w:spacing w:after="200" w:before="100"/>
      </w:pPr>
      <w:r>
        <w:rPr>
          <w:b/>
          <w:bCs/>
          <w:color w:val="1F4E5F"/>
          <w:sz w:val="21"/>
          <w:szCs w:val="21"/>
        </w:rPr>
        <w:t xml:space="preserve">x_capability = C_infra_capability / P</w:t>
      </w:r>
      <w:r>
        <w:rPr>
          <w:b/>
          <w:bCs/>
          <w:color w:val="1F4E5F"/>
          <w:sz w:val="21"/>
          <w:szCs w:val="21"/>
        </w:rPr>
        <w:br/>
        <w:t xml:space="preserve">y_capability = C_market_capability / P</w:t>
      </w:r>
    </w:p>
    <w:p>
      <w:pPr>
        <w:spacing w:after="140"/>
      </w:pPr>
      <w:r>
        <w:t xml:space="preserve">Ở các nghiệp vụ này, x + y không nhất thiết bằng 1 — nếu nghiệp vụ đó đắt hơn (ví dụ TTS/render nặng compute) thì &gt; 1, rẻ hơn thì &lt; 1. Điều này đúng bản chất: 1 Credit là đơn vị giá trị cố định, còn chi phí thực mỗi nghiệp vụ khác nhau.</w:t>
      </w:r>
    </w:p>
    <w:p>
      <w:pPr>
        <w:pStyle w:val="Heading3"/>
        <w:spacing w:after="100" w:before="200"/>
      </w:pPr>
      <w:r>
        <w:t xml:space="preserve">Ví dụ minh hoạ (số giả định)</w:t>
      </w:r>
    </w:p>
    <w:p>
      <w:pPr>
        <w:spacing w:after="140"/>
      </w:pPr>
      <w:r>
        <w:t xml:space="preserve">Nghiệp vụ tham chiếu = Translate:</w:t>
      </w:r>
    </w:p>
    <w:p>
      <w:pPr>
        <w:pStyle w:val="ListParagraph"/>
        <w:numPr>
          <w:ilvl w:val="0"/>
          <w:numId w:val="1"/>
        </w:numPr>
        <w:spacing w:after="80"/>
      </w:pPr>
      <w:r>
        <w:t xml:space="preserve">C_infra = 0,08 VNĐ/token</w:t>
      </w:r>
    </w:p>
    <w:p>
      <w:pPr>
        <w:pStyle w:val="ListParagraph"/>
        <w:numPr>
          <w:ilvl w:val="0"/>
          <w:numId w:val="1"/>
        </w:numPr>
        <w:spacing w:after="80"/>
      </w:pPr>
      <w:r>
        <w:t xml:space="preserve">C_market (giá thị trường model tương đương, dù đang free) = 0,32 VNĐ/token</w:t>
      </w:r>
    </w:p>
    <w:p>
      <w:pPr>
        <w:pStyle w:val="ListParagraph"/>
        <w:numPr>
          <w:ilvl w:val="0"/>
          <w:numId w:val="1"/>
        </w:numPr>
        <w:spacing w:after="80"/>
      </w:pPr>
      <w:r>
        <w:t xml:space="preserve">→ P = 0,08 + 0,32 = 0,4 VNĐ/Credit</w:t>
      </w:r>
    </w:p>
    <w:p>
      <w:pPr>
        <w:pStyle w:val="ListParagraph"/>
        <w:numPr>
          <w:ilvl w:val="0"/>
          <w:numId w:val="1"/>
        </w:numPr>
        <w:spacing w:after="80"/>
      </w:pPr>
      <w:r>
        <w:t xml:space="preserve">→ x_ref = 0,08 / 0,4 = 0.2</w:t>
      </w:r>
    </w:p>
    <w:p>
      <w:pPr>
        <w:pStyle w:val="ListParagraph"/>
        <w:numPr>
          <w:ilvl w:val="0"/>
          <w:numId w:val="1"/>
        </w:numPr>
        <w:spacing w:after="80"/>
      </w:pPr>
      <w:r>
        <w:t xml:space="preserve">→ y_ref = 0,32 / 0,4 = 0.8</w:t>
      </w:r>
    </w:p>
    <w:p>
      <w:pPr>
        <w:pStyle w:val="ListParagraph"/>
        <w:numPr>
          <w:ilvl w:val="0"/>
          <w:numId w:val="1"/>
        </w:numPr>
        <w:spacing w:after="80"/>
      </w:pPr>
      <w:r>
        <w:t xml:space="preserve">Kiểm tra: x + y = 1 ✓ (đúng 1 token chuẩn = 1 Credit khi không BYOK)</w:t>
      </w:r>
    </w:p>
    <w:p>
      <w:pPr>
        <w:spacing w:after="140"/>
      </w:pPr>
      <w:r>
        <w:t xml:space="preserve"/>
      </w:r>
    </w:p>
    <w:p>
      <w:pPr>
        <w:spacing w:after="140"/>
      </w:pPr>
      <w:r>
        <w:t xml:space="preserve">Với nghiệp vụ khác, ví dụ TTS (tốn compute hơn, model thị trường đắt hơn):</w:t>
      </w:r>
    </w:p>
    <w:p>
      <w:pPr>
        <w:pStyle w:val="ListParagraph"/>
        <w:numPr>
          <w:ilvl w:val="0"/>
          <w:numId w:val="1"/>
        </w:numPr>
        <w:spacing w:after="80"/>
      </w:pPr>
      <w:r>
        <w:t xml:space="preserve">C_infra_TTS = 0,10 VNĐ/token, C_market_TTS = 0,50 VNĐ/token</w:t>
      </w:r>
    </w:p>
    <w:p>
      <w:pPr>
        <w:pStyle w:val="ListParagraph"/>
        <w:numPr>
          <w:ilvl w:val="0"/>
          <w:numId w:val="1"/>
        </w:numPr>
        <w:spacing w:after="80"/>
      </w:pPr>
      <w:r>
        <w:t xml:space="preserve">x_TTS = 0,10 / 0,4 = 0.25, y_TTS = 0,50 / 0,4 = 1.25</w:t>
      </w:r>
    </w:p>
    <w:p>
      <w:pPr>
        <w:pStyle w:val="ListParagraph"/>
        <w:numPr>
          <w:ilvl w:val="0"/>
          <w:numId w:val="1"/>
        </w:numPr>
        <w:spacing w:after="80"/>
      </w:pPr>
      <w:r>
        <w:t xml:space="preserve">→ 1 token TTS không-BYOK tốn 1.5 Credit — hợp lý vì đắt hơn nghiệp vụ tham chiếu.</w:t>
      </w:r>
    </w:p>
    <w:p>
      <w:pPr>
        <w:pStyle w:val="Heading1"/>
        <w:spacing w:after="160" w:before="320"/>
      </w:pPr>
      <w:r>
        <w:t xml:space="preserve">5. Vấn đề còn cần quyết định / dữ liệu cần thu thập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shd w:fill="D9E2F3" w:val="clear"/>
            <w:tcMar>
              <w:top w:type="dxa" w:w="80"/>
              <w:left w:type="dxa" w:w="100"/>
              <w:bottom w:type="dxa" w:w="80"/>
              <w:right w:type="dxa" w:w="100"/>
            </w:tcMar>
          </w:tcPr>
          <w:p>
            <w:pPr>
              <w:jc w:val="left"/>
            </w:pPr>
            <w:r>
              <w:rPr>
                <w:b/>
                <w:bCs/>
              </w:rPr>
              <w:t xml:space="preserve">#</w:t>
            </w:r>
          </w:p>
        </w:tc>
        <w:tc>
          <w:tcPr>
            <w:tcW w:type="dxa" w:w="3600"/>
            <w:shd w:fill="D9E2F3" w:val="clear"/>
            <w:tcMar>
              <w:top w:type="dxa" w:w="80"/>
              <w:left w:type="dxa" w:w="100"/>
              <w:bottom w:type="dxa" w:w="80"/>
              <w:right w:type="dxa" w:w="100"/>
            </w:tcMar>
          </w:tcPr>
          <w:p>
            <w:pPr>
              <w:jc w:val="left"/>
            </w:pPr>
            <w:r>
              <w:rPr>
                <w:b/>
                <w:bCs/>
              </w:rPr>
              <w:t xml:space="preserve">Việc cần chốt</w:t>
            </w:r>
          </w:p>
        </w:tc>
        <w:tc>
          <w:tcPr>
            <w:tcW w:type="dxa" w:w="5060"/>
            <w:shd w:fill="D9E2F3" w:val="clear"/>
            <w:tcMar>
              <w:top w:type="dxa" w:w="80"/>
              <w:left w:type="dxa" w:w="100"/>
              <w:bottom w:type="dxa" w:w="80"/>
              <w:right w:type="dxa" w:w="100"/>
            </w:tcMar>
          </w:tcPr>
          <w:p>
            <w:pPr>
              <w:jc w:val="left"/>
            </w:pPr>
            <w:r>
              <w:rPr>
                <w:b/>
                <w:bCs/>
              </w:rPr>
              <w:t xml:space="preserve">Ghi chú</w:t>
            </w:r>
          </w:p>
        </w:tc>
      </w:tr>
      <w:tr>
        <w:tc>
          <w:tcPr>
            <w:tcW w:type="dxa" w:w="700"/>
            <w:tcMar>
              <w:top w:type="dxa" w:w="80"/>
              <w:left w:type="dxa" w:w="100"/>
              <w:bottom w:type="dxa" w:w="80"/>
              <w:right w:type="dxa" w:w="100"/>
            </w:tcMar>
          </w:tcPr>
          <w:p>
            <w:pPr>
              <w:jc w:val="left"/>
            </w:pPr>
            <w:r>
              <w:rPr>
                <w:b w:val="false"/>
                <w:bCs w:val="false"/>
              </w:rPr>
              <w:t xml:space="preserve">1</w:t>
            </w:r>
          </w:p>
        </w:tc>
        <w:tc>
          <w:tcPr>
            <w:tcW w:type="dxa" w:w="3600"/>
            <w:tcMar>
              <w:top w:type="dxa" w:w="80"/>
              <w:left w:type="dxa" w:w="100"/>
              <w:bottom w:type="dxa" w:w="80"/>
              <w:right w:type="dxa" w:w="100"/>
            </w:tcMar>
          </w:tcPr>
          <w:p>
            <w:pPr>
              <w:jc w:val="left"/>
            </w:pPr>
            <w:r>
              <w:rPr>
                <w:b w:val="false"/>
                <w:bCs w:val="false"/>
              </w:rPr>
              <w:t xml:space="preserve">Chọn nghiệp vụ tham chiếu</w:t>
            </w:r>
          </w:p>
        </w:tc>
        <w:tc>
          <w:tcPr>
            <w:tcW w:type="dxa" w:w="5060"/>
            <w:tcMar>
              <w:top w:type="dxa" w:w="80"/>
              <w:left w:type="dxa" w:w="100"/>
              <w:bottom w:type="dxa" w:w="80"/>
              <w:right w:type="dxa" w:w="100"/>
            </w:tcMar>
          </w:tcPr>
          <w:p>
            <w:pPr>
              <w:jc w:val="left"/>
            </w:pPr>
            <w:r>
              <w:rPr>
                <w:b w:val="false"/>
                <w:bCs w:val="false"/>
              </w:rPr>
              <w:t xml:space="preserve">Translate, STT, hay nghiệp vụ nào được coi là “chuẩn”?</w:t>
            </w:r>
          </w:p>
        </w:tc>
      </w:tr>
      <w:tr>
        <w:tc>
          <w:tcPr>
            <w:tcW w:type="dxa" w:w="700"/>
            <w:tcMar>
              <w:top w:type="dxa" w:w="80"/>
              <w:left w:type="dxa" w:w="100"/>
              <w:bottom w:type="dxa" w:w="80"/>
              <w:right w:type="dxa" w:w="100"/>
            </w:tcMar>
          </w:tcPr>
          <w:p>
            <w:pPr>
              <w:jc w:val="left"/>
            </w:pPr>
            <w:r>
              <w:rPr>
                <w:b w:val="false"/>
                <w:bCs w:val="false"/>
              </w:rPr>
              <w:t xml:space="preserve">2</w:t>
            </w:r>
          </w:p>
        </w:tc>
        <w:tc>
          <w:tcPr>
            <w:tcW w:type="dxa" w:w="3600"/>
            <w:tcMar>
              <w:top w:type="dxa" w:w="80"/>
              <w:left w:type="dxa" w:w="100"/>
              <w:bottom w:type="dxa" w:w="80"/>
              <w:right w:type="dxa" w:w="100"/>
            </w:tcMar>
          </w:tcPr>
          <w:p>
            <w:pPr>
              <w:jc w:val="left"/>
            </w:pPr>
            <w:r>
              <w:rPr>
                <w:b w:val="false"/>
                <w:bCs w:val="false"/>
              </w:rPr>
              <w:t xml:space="preserve">Chọn provider/model để lấy C_market</w:t>
            </w:r>
          </w:p>
        </w:tc>
        <w:tc>
          <w:tcPr>
            <w:tcW w:type="dxa" w:w="5060"/>
            <w:tcMar>
              <w:top w:type="dxa" w:w="80"/>
              <w:left w:type="dxa" w:w="100"/>
              <w:bottom w:type="dxa" w:w="80"/>
              <w:right w:type="dxa" w:w="100"/>
            </w:tcMar>
          </w:tcPr>
          <w:p>
            <w:pPr>
              <w:jc w:val="left"/>
            </w:pPr>
            <w:r>
              <w:rPr>
                <w:b w:val="false"/>
                <w:bCs w:val="false"/>
              </w:rPr>
              <w:t xml:space="preserve">Vì đang dùng bản free, cần chọn model làm “giá tham chiếu thị trường” cho từng nghiệp vụ (STT, Dịch, TTS, Tóm tắt, Render, Vision)</w:t>
            </w:r>
          </w:p>
        </w:tc>
      </w:tr>
      <w:tr>
        <w:tc>
          <w:tcPr>
            <w:tcW w:type="dxa" w:w="700"/>
            <w:tcMar>
              <w:top w:type="dxa" w:w="80"/>
              <w:left w:type="dxa" w:w="100"/>
              <w:bottom w:type="dxa" w:w="80"/>
              <w:right w:type="dxa" w:w="100"/>
            </w:tcMar>
          </w:tcPr>
          <w:p>
            <w:pPr>
              <w:jc w:val="left"/>
            </w:pPr>
            <w:r>
              <w:rPr>
                <w:b w:val="false"/>
                <w:bCs w:val="false"/>
              </w:rPr>
              <w:t xml:space="preserve">3</w:t>
            </w:r>
          </w:p>
        </w:tc>
        <w:tc>
          <w:tcPr>
            <w:tcW w:type="dxa" w:w="3600"/>
            <w:tcMar>
              <w:top w:type="dxa" w:w="80"/>
              <w:left w:type="dxa" w:w="100"/>
              <w:bottom w:type="dxa" w:w="80"/>
              <w:right w:type="dxa" w:w="100"/>
            </w:tcMar>
          </w:tcPr>
          <w:p>
            <w:pPr>
              <w:jc w:val="left"/>
            </w:pPr>
            <w:r>
              <w:rPr>
                <w:b w:val="false"/>
                <w:bCs w:val="false"/>
              </w:rPr>
              <w:t xml:space="preserve">Ước tính C_infra</w:t>
            </w:r>
          </w:p>
        </w:tc>
        <w:tc>
          <w:tcPr>
            <w:tcW w:type="dxa" w:w="5060"/>
            <w:tcMar>
              <w:top w:type="dxa" w:w="80"/>
              <w:left w:type="dxa" w:w="100"/>
              <w:bottom w:type="dxa" w:w="80"/>
              <w:right w:type="dxa" w:w="100"/>
            </w:tcMar>
          </w:tcPr>
          <w:p>
            <w:pPr>
              <w:jc w:val="left"/>
            </w:pPr>
            <w:r>
              <w:rPr>
                <w:b w:val="false"/>
                <w:bCs w:val="false"/>
              </w:rPr>
              <w:t xml:space="preserve">Cần chi phí hạ tầng dự kiến/tháng và tổng token xử lý dự kiến/tháng</w:t>
            </w:r>
          </w:p>
        </w:tc>
      </w:tr>
      <w:tr>
        <w:tc>
          <w:tcPr>
            <w:tcW w:type="dxa" w:w="700"/>
            <w:tcMar>
              <w:top w:type="dxa" w:w="80"/>
              <w:left w:type="dxa" w:w="100"/>
              <w:bottom w:type="dxa" w:w="80"/>
              <w:right w:type="dxa" w:w="100"/>
            </w:tcMar>
          </w:tcPr>
          <w:p>
            <w:pPr>
              <w:jc w:val="left"/>
            </w:pPr>
            <w:r>
              <w:rPr>
                <w:b w:val="false"/>
                <w:bCs w:val="false"/>
              </w:rPr>
              <w:t xml:space="preserve">4</w:t>
            </w:r>
          </w:p>
        </w:tc>
        <w:tc>
          <w:tcPr>
            <w:tcW w:type="dxa" w:w="3600"/>
            <w:tcMar>
              <w:top w:type="dxa" w:w="80"/>
              <w:left w:type="dxa" w:w="100"/>
              <w:bottom w:type="dxa" w:w="80"/>
              <w:right w:type="dxa" w:w="100"/>
            </w:tcMar>
          </w:tcPr>
          <w:p>
            <w:pPr>
              <w:jc w:val="left"/>
            </w:pPr>
            <w:r>
              <w:rPr>
                <w:b w:val="false"/>
                <w:bCs w:val="false"/>
              </w:rPr>
              <w:t xml:space="preserve">Chọn phương án cho y khi free</w:t>
            </w:r>
          </w:p>
        </w:tc>
        <w:tc>
          <w:tcPr>
            <w:tcW w:type="dxa" w:w="5060"/>
            <w:tcMar>
              <w:top w:type="dxa" w:w="80"/>
              <w:left w:type="dxa" w:w="100"/>
              <w:bottom w:type="dxa" w:w="80"/>
              <w:right w:type="dxa" w:w="100"/>
            </w:tcMar>
          </w:tcPr>
          <w:p>
            <w:pPr>
              <w:jc w:val="left"/>
            </w:pPr>
            <w:r>
              <w:rPr>
                <w:b w:val="false"/>
                <w:bCs w:val="false"/>
              </w:rPr>
              <w:t xml:space="preserve">A (y=0) / B (shadow price — khuyến nghị) / C (phí quota)</w:t>
            </w:r>
          </w:p>
        </w:tc>
      </w:tr>
      <w:tr>
        <w:tc>
          <w:tcPr>
            <w:tcW w:type="dxa" w:w="700"/>
            <w:tcMar>
              <w:top w:type="dxa" w:w="80"/>
              <w:left w:type="dxa" w:w="100"/>
              <w:bottom w:type="dxa" w:w="80"/>
              <w:right w:type="dxa" w:w="100"/>
            </w:tcMar>
          </w:tcPr>
          <w:p>
            <w:pPr>
              <w:jc w:val="left"/>
            </w:pPr>
            <w:r>
              <w:rPr>
                <w:b w:val="false"/>
                <w:bCs w:val="false"/>
              </w:rPr>
              <w:t xml:space="preserve">5</w:t>
            </w:r>
          </w:p>
        </w:tc>
        <w:tc>
          <w:tcPr>
            <w:tcW w:type="dxa" w:w="3600"/>
            <w:tcMar>
              <w:top w:type="dxa" w:w="80"/>
              <w:left w:type="dxa" w:w="100"/>
              <w:bottom w:type="dxa" w:w="80"/>
              <w:right w:type="dxa" w:w="100"/>
            </w:tcMar>
          </w:tcPr>
          <w:p>
            <w:pPr>
              <w:jc w:val="left"/>
            </w:pPr>
            <w:r>
              <w:rPr>
                <w:b w:val="false"/>
                <w:bCs w:val="false"/>
              </w:rPr>
              <w:t xml:space="preserve">Biên lợi nhuận mong muốn</w:t>
            </w:r>
          </w:p>
        </w:tc>
        <w:tc>
          <w:tcPr>
            <w:tcW w:type="dxa" w:w="5060"/>
            <w:tcMar>
              <w:top w:type="dxa" w:w="80"/>
              <w:left w:type="dxa" w:w="100"/>
              <w:bottom w:type="dxa" w:w="80"/>
              <w:right w:type="dxa" w:w="100"/>
            </w:tcMar>
          </w:tcPr>
          <w:p>
            <w:pPr>
              <w:jc w:val="left"/>
            </w:pPr>
            <w:r>
              <w:rPr>
                <w:b w:val="false"/>
                <w:bCs w:val="false"/>
              </w:rPr>
              <w:t xml:space="preserve">Áp dụng khi tính x (Mục 2)</w:t>
            </w:r>
          </w:p>
        </w:tc>
      </w:tr>
    </w:tbl>
    <w:p>
      <w:pPr>
        <w:pBdr>
          <w:bottom w:val="single" w:color="BBBBBB" w:sz="6"/>
        </w:pBdr>
        <w:spacing w:after="200" w:before="200"/>
      </w:pPr>
    </w:p>
    <w:p>
      <w:pPr>
        <w:spacing w:after="140"/>
      </w:pPr>
      <w:r>
        <w:rPr>
          <w:i/>
          <w:iCs/>
          <w:color w:val="777777"/>
          <w:sz w:val="20"/>
          <w:szCs w:val="20"/>
        </w:rPr>
        <w:t xml:space="preserve">Tài liệu tổng hợp từ phân tích công thức Credit trong SRS_updated.md, System_Architecture_updated.md và Database_Design_updated.md của dự án TransFlow Media.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2026-09-14T07:57:33.858Z</dcterms:created>
  <dcterms:modified xsi:type="dcterms:W3CDTF">2026-09-14T07:57:33.858Z</dcterms:modified>
</cp:coreProperties>
</file>

<file path=docProps/custom.xml><?xml version="1.0" encoding="utf-8"?>
<Properties xmlns="http://schemas.openxmlformats.org/officeDocument/2006/custom-properties" xmlns:vt="http://schemas.openxmlformats.org/officeDocument/2006/docPropsVTypes"/>
</file>