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639B7" w14:textId="77777777" w:rsidR="00646375" w:rsidRPr="00646375" w:rsidRDefault="00646375" w:rsidP="00646375">
      <w:pPr>
        <w:spacing w:after="0" w:line="240" w:lineRule="auto"/>
        <w:outlineLvl w:val="0"/>
        <w:rPr>
          <w:rFonts w:ascii="Times New Roman" w:eastAsia="Times New Roman" w:hAnsi="Times New Roman" w:cs="Times New Roman"/>
          <w:b/>
          <w:bCs/>
          <w:color w:val="363737"/>
          <w:kern w:val="36"/>
          <w:sz w:val="48"/>
          <w:szCs w:val="48"/>
          <w14:ligatures w14:val="none"/>
        </w:rPr>
      </w:pPr>
      <w:r w:rsidRPr="00646375">
        <w:rPr>
          <w:rFonts w:ascii="Times New Roman" w:eastAsia="Times New Roman" w:hAnsi="Times New Roman" w:cs="Times New Roman"/>
          <w:b/>
          <w:bCs/>
          <w:color w:val="363737"/>
          <w:kern w:val="36"/>
          <w:sz w:val="48"/>
          <w:szCs w:val="48"/>
          <w14:ligatures w14:val="none"/>
        </w:rPr>
        <w:t>Round 1 Playoff Preview: What the Data Says About All 16 Teams</w:t>
      </w:r>
    </w:p>
    <w:p w14:paraId="4060DAA7" w14:textId="77777777" w:rsidR="00646375" w:rsidRPr="00646375" w:rsidRDefault="00646375" w:rsidP="00646375">
      <w:pPr>
        <w:spacing w:before="100" w:beforeAutospacing="1" w:after="0" w:line="240" w:lineRule="auto"/>
        <w:outlineLvl w:val="2"/>
        <w:rPr>
          <w:rFonts w:ascii="Times New Roman" w:eastAsia="Times New Roman" w:hAnsi="Times New Roman" w:cs="Times New Roman"/>
          <w:color w:val="363737"/>
          <w:kern w:val="0"/>
          <w:sz w:val="27"/>
          <w:szCs w:val="27"/>
          <w14:ligatures w14:val="none"/>
        </w:rPr>
      </w:pPr>
      <w:r w:rsidRPr="00646375">
        <w:rPr>
          <w:rFonts w:ascii="Times New Roman" w:eastAsia="Times New Roman" w:hAnsi="Times New Roman" w:cs="Times New Roman"/>
          <w:color w:val="363737"/>
          <w:kern w:val="0"/>
          <w:sz w:val="27"/>
          <w:szCs w:val="27"/>
          <w14:ligatures w14:val="none"/>
        </w:rPr>
        <w:t>New here? Start with the foundation post — The Geometry of Winning — which explains the framework behind these predictions.</w:t>
      </w:r>
    </w:p>
    <w:p w14:paraId="5EB102D8" w14:textId="77777777" w:rsidR="00646375" w:rsidRPr="00646375" w:rsidRDefault="00646375" w:rsidP="00646375">
      <w:pPr>
        <w:spacing w:after="0" w:line="300" w:lineRule="atLeast"/>
        <w:rPr>
          <w:rFonts w:ascii="var(--font-family-meta)" w:eastAsia="Times New Roman" w:hAnsi="var(--font-family-meta)" w:cs="Times New Roman"/>
          <w:caps/>
          <w:color w:val="363737"/>
          <w:spacing w:val="3"/>
          <w:kern w:val="0"/>
          <w:sz w:val="17"/>
          <w:szCs w:val="17"/>
          <w14:ligatures w14:val="none"/>
        </w:rPr>
      </w:pPr>
      <w:hyperlink r:id="rId5" w:history="1">
        <w:r w:rsidRPr="00646375">
          <w:rPr>
            <w:rFonts w:ascii="var(--font-family-meta)" w:eastAsia="Times New Roman" w:hAnsi="var(--font-family-meta)" w:cs="Times New Roman"/>
            <w:caps/>
            <w:color w:val="0000FF"/>
            <w:spacing w:val="3"/>
            <w:kern w:val="0"/>
            <w:sz w:val="17"/>
            <w:szCs w:val="17"/>
            <w:u w:val="single"/>
            <w14:ligatures w14:val="none"/>
          </w:rPr>
          <w:t>ASH GARG L HOCKEYROI</w:t>
        </w:r>
      </w:hyperlink>
    </w:p>
    <w:p w14:paraId="47C711ED" w14:textId="77777777" w:rsidR="00646375" w:rsidRPr="00646375" w:rsidRDefault="00646375" w:rsidP="00646375">
      <w:pPr>
        <w:spacing w:after="0" w:line="300" w:lineRule="atLeast"/>
        <w:rPr>
          <w:rFonts w:ascii="var(--font-family-meta)" w:eastAsia="Times New Roman" w:hAnsi="var(--font-family-meta)" w:cs="Times New Roman"/>
          <w:caps/>
          <w:color w:val="363737"/>
          <w:spacing w:val="3"/>
          <w:kern w:val="0"/>
          <w:sz w:val="17"/>
          <w:szCs w:val="17"/>
          <w14:ligatures w14:val="none"/>
        </w:rPr>
      </w:pPr>
      <w:r w:rsidRPr="00646375">
        <w:rPr>
          <w:rFonts w:ascii="var(--font-family-meta)" w:eastAsia="Times New Roman" w:hAnsi="var(--font-family-meta)" w:cs="Times New Roman"/>
          <w:caps/>
          <w:color w:val="363737"/>
          <w:spacing w:val="3"/>
          <w:kern w:val="0"/>
          <w:sz w:val="17"/>
          <w:szCs w:val="17"/>
          <w14:ligatures w14:val="none"/>
        </w:rPr>
        <w:t>APR 20, 2026</w:t>
      </w:r>
    </w:p>
    <w:p w14:paraId="3B079BCC" w14:textId="77777777" w:rsidR="00646375" w:rsidRPr="00646375" w:rsidRDefault="00646375" w:rsidP="00646375">
      <w:pPr>
        <w:spacing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t>Six seasons of NHL shot data plus power play and penalty kill metrics. A three-pillar model that predicts playoff qualification with 86% accuracy on holdout data.</w:t>
      </w:r>
    </w:p>
    <w:p w14:paraId="2DF0ADC3"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t>I posted the results on X before the playoffs started.</w:t>
      </w:r>
    </w:p>
    <w:p w14:paraId="0546E4B7"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t>Here’s what it says about Round 1.</w:t>
      </w:r>
    </w:p>
    <w:p w14:paraId="0BC0EFEA" w14:textId="77777777" w:rsidR="00646375" w:rsidRPr="00646375" w:rsidRDefault="00646375" w:rsidP="00646375">
      <w:pPr>
        <w:spacing w:after="0" w:line="240" w:lineRule="auto"/>
        <w:rPr>
          <w:rFonts w:ascii="Times New Roman" w:eastAsia="Times New Roman" w:hAnsi="Times New Roman" w:cs="Times New Roman"/>
          <w:color w:val="0000FF"/>
          <w:kern w:val="0"/>
          <w:bdr w:val="none" w:sz="0" w:space="0" w:color="auto" w:frame="1"/>
          <w14:ligatures w14:val="none"/>
        </w:rPr>
      </w:pPr>
      <w:r w:rsidRPr="00646375">
        <w:rPr>
          <w:rFonts w:ascii="Times New Roman" w:eastAsia="Times New Roman" w:hAnsi="Times New Roman" w:cs="Times New Roman"/>
          <w:color w:val="363737"/>
          <w:kern w:val="0"/>
          <w:sz w:val="29"/>
          <w:szCs w:val="29"/>
          <w14:ligatures w14:val="none"/>
        </w:rPr>
        <w:fldChar w:fldCharType="begin"/>
      </w:r>
      <w:r w:rsidRPr="00646375">
        <w:rPr>
          <w:rFonts w:ascii="Times New Roman" w:eastAsia="Times New Roman" w:hAnsi="Times New Roman" w:cs="Times New Roman"/>
          <w:color w:val="363737"/>
          <w:kern w:val="0"/>
          <w:sz w:val="29"/>
          <w:szCs w:val="29"/>
          <w14:ligatures w14:val="none"/>
        </w:rPr>
        <w:instrText>HYPERLINK "https://substackcdn.com/image/fetch/$s_!QtmW!,f_auto,q_auto:good,fl_progressive:steep/https%3A%2F%2Fsubstack-post-media.s3.amazonaws.com%2Fpublic%2Fimages%2F8ec37734-2972-4c74-a6be-cb6116dbc069_780x980.png" \t "_blank"</w:instrText>
      </w:r>
      <w:r w:rsidRPr="00646375">
        <w:rPr>
          <w:rFonts w:ascii="Times New Roman" w:eastAsia="Times New Roman" w:hAnsi="Times New Roman" w:cs="Times New Roman"/>
          <w:color w:val="363737"/>
          <w:kern w:val="0"/>
          <w:sz w:val="29"/>
          <w:szCs w:val="29"/>
          <w14:ligatures w14:val="none"/>
        </w:rPr>
      </w:r>
      <w:r w:rsidRPr="00646375">
        <w:rPr>
          <w:rFonts w:ascii="Times New Roman" w:eastAsia="Times New Roman" w:hAnsi="Times New Roman" w:cs="Times New Roman"/>
          <w:color w:val="363737"/>
          <w:kern w:val="0"/>
          <w:sz w:val="29"/>
          <w:szCs w:val="29"/>
          <w14:ligatures w14:val="none"/>
        </w:rPr>
        <w:fldChar w:fldCharType="separate"/>
      </w:r>
    </w:p>
    <w:p w14:paraId="03C096AA" w14:textId="41E82517" w:rsidR="00646375" w:rsidRPr="00646375" w:rsidRDefault="00646375" w:rsidP="00646375">
      <w:pPr>
        <w:spacing w:after="0" w:line="240" w:lineRule="auto"/>
        <w:rPr>
          <w:rFonts w:ascii="Times New Roman" w:eastAsia="Times New Roman" w:hAnsi="Times New Roman" w:cs="Times New Roman"/>
          <w:kern w:val="0"/>
          <w14:ligatures w14:val="none"/>
        </w:rPr>
      </w:pPr>
      <w:r w:rsidRPr="00646375">
        <w:rPr>
          <w:rFonts w:ascii="Times New Roman" w:eastAsia="Times New Roman" w:hAnsi="Times New Roman" w:cs="Times New Roman"/>
          <w:color w:val="0000FF"/>
          <w:kern w:val="0"/>
          <w:sz w:val="29"/>
          <w:szCs w:val="29"/>
          <w:bdr w:val="none" w:sz="0" w:space="0" w:color="auto" w:frame="1"/>
          <w14:ligatures w14:val="none"/>
        </w:rPr>
        <w:lastRenderedPageBreak/>
        <w:fldChar w:fldCharType="begin"/>
      </w:r>
      <w:r w:rsidRPr="00646375">
        <w:rPr>
          <w:rFonts w:ascii="Times New Roman" w:eastAsia="Times New Roman" w:hAnsi="Times New Roman" w:cs="Times New Roman"/>
          <w:color w:val="0000FF"/>
          <w:kern w:val="0"/>
          <w:sz w:val="29"/>
          <w:szCs w:val="29"/>
          <w:bdr w:val="none" w:sz="0" w:space="0" w:color="auto" w:frame="1"/>
          <w14:ligatures w14:val="none"/>
        </w:rPr>
        <w:instrText xml:space="preserve"> INCLUDEPICTURE "/Users/ashgarg/Library/Group Containers/UBF8T346G9.ms/WebArchiveCopyPasteTempFiles/com.microsoft.Word/https%3A%2F%2Fsubstack-post-media.s3.amazonaws.com%2Fpublic%2Fimages%2F8ec37734-2972-4c74-a6be-cb6116dbc069_780x980.png" \* MERGEFORMATINET </w:instrText>
      </w:r>
      <w:r w:rsidRPr="00646375">
        <w:rPr>
          <w:rFonts w:ascii="Times New Roman" w:eastAsia="Times New Roman" w:hAnsi="Times New Roman" w:cs="Times New Roman"/>
          <w:color w:val="0000FF"/>
          <w:kern w:val="0"/>
          <w:sz w:val="29"/>
          <w:szCs w:val="29"/>
          <w:bdr w:val="none" w:sz="0" w:space="0" w:color="auto" w:frame="1"/>
          <w14:ligatures w14:val="none"/>
        </w:rPr>
        <w:fldChar w:fldCharType="separate"/>
      </w:r>
      <w:r w:rsidRPr="00646375">
        <w:rPr>
          <w:rFonts w:ascii="Times New Roman" w:eastAsia="Times New Roman" w:hAnsi="Times New Roman" w:cs="Times New Roman"/>
          <w:noProof/>
          <w:color w:val="0000FF"/>
          <w:kern w:val="0"/>
          <w:sz w:val="29"/>
          <w:szCs w:val="29"/>
          <w:bdr w:val="none" w:sz="0" w:space="0" w:color="auto" w:frame="1"/>
          <w14:ligatures w14:val="none"/>
        </w:rPr>
        <w:drawing>
          <wp:inline distT="0" distB="0" distL="0" distR="0" wp14:anchorId="2E993706" wp14:editId="3E619D9B">
            <wp:extent cx="5943600" cy="7466965"/>
            <wp:effectExtent l="0" t="0" r="0" b="635"/>
            <wp:docPr id="1001881674" name="Picture 2">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466965"/>
                    </a:xfrm>
                    <a:prstGeom prst="rect">
                      <a:avLst/>
                    </a:prstGeom>
                    <a:noFill/>
                    <a:ln>
                      <a:noFill/>
                    </a:ln>
                  </pic:spPr>
                </pic:pic>
              </a:graphicData>
            </a:graphic>
          </wp:inline>
        </w:drawing>
      </w:r>
      <w:r w:rsidRPr="00646375">
        <w:rPr>
          <w:rFonts w:ascii="Times New Roman" w:eastAsia="Times New Roman" w:hAnsi="Times New Roman" w:cs="Times New Roman"/>
          <w:color w:val="0000FF"/>
          <w:kern w:val="0"/>
          <w:sz w:val="29"/>
          <w:szCs w:val="29"/>
          <w:bdr w:val="none" w:sz="0" w:space="0" w:color="auto" w:frame="1"/>
          <w14:ligatures w14:val="none"/>
        </w:rPr>
        <w:fldChar w:fldCharType="end"/>
      </w:r>
    </w:p>
    <w:p w14:paraId="0E60A325" w14:textId="77777777" w:rsidR="00646375" w:rsidRPr="00646375" w:rsidRDefault="00646375" w:rsidP="00646375">
      <w:pPr>
        <w:spacing w:after="0" w:line="240" w:lineRule="auto"/>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fldChar w:fldCharType="end"/>
      </w:r>
    </w:p>
    <w:p w14:paraId="2C5F7C70"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i/>
          <w:iCs/>
          <w:color w:val="363737"/>
          <w:kern w:val="0"/>
          <w:sz w:val="29"/>
          <w:szCs w:val="29"/>
          <w14:ligatures w14:val="none"/>
        </w:rPr>
        <w:lastRenderedPageBreak/>
        <w:t>All 16 playoff teams ranked by pillar count. Green = pillar met, red = pillar missed. Gold team name = model pick to advance.</w:t>
      </w:r>
    </w:p>
    <w:p w14:paraId="66359ECA" w14:textId="77777777" w:rsidR="00646375" w:rsidRPr="00646375" w:rsidRDefault="00646375" w:rsidP="00646375">
      <w:pPr>
        <w:spacing w:after="0" w:line="240" w:lineRule="auto"/>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pict w14:anchorId="46E0AB36">
          <v:rect id="_x0000_i1059" style="width:0;height:.75pt" o:hralign="center" o:hrstd="t" o:hr="t" fillcolor="#a0a0a0" stroked="f"/>
        </w:pict>
      </w:r>
    </w:p>
    <w:p w14:paraId="32199DE0"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b/>
          <w:bCs/>
          <w:color w:val="363737"/>
          <w:kern w:val="0"/>
          <w:sz w:val="29"/>
          <w:szCs w:val="29"/>
          <w14:ligatures w14:val="none"/>
        </w:rPr>
        <w:t>The Three Pillars</w:t>
      </w:r>
    </w:p>
    <w:p w14:paraId="1BCA62D5"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b/>
          <w:bCs/>
          <w:color w:val="363737"/>
          <w:kern w:val="0"/>
          <w:sz w:val="29"/>
          <w:szCs w:val="29"/>
          <w14:ligatures w14:val="none"/>
        </w:rPr>
        <w:t>Net-front attempt rate</w:t>
      </w:r>
      <w:r w:rsidRPr="00646375">
        <w:rPr>
          <w:rFonts w:ascii="Times New Roman" w:eastAsia="Times New Roman" w:hAnsi="Times New Roman" w:cs="Times New Roman"/>
          <w:color w:val="363737"/>
          <w:kern w:val="0"/>
          <w:sz w:val="29"/>
          <w:szCs w:val="29"/>
          <w14:ligatures w14:val="none"/>
        </w:rPr>
        <w:t> — how often a team generates tip-ins, deflections, and rebound attempts as a percentage of even strength shots. Threshold: top third of the league (≥15.2%).</w:t>
      </w:r>
    </w:p>
    <w:p w14:paraId="3E3E51A8"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b/>
          <w:bCs/>
          <w:color w:val="363737"/>
          <w:kern w:val="0"/>
          <w:sz w:val="29"/>
          <w:szCs w:val="29"/>
          <w14:ligatures w14:val="none"/>
        </w:rPr>
        <w:t>Goals against per game</w:t>
      </w:r>
      <w:r w:rsidRPr="00646375">
        <w:rPr>
          <w:rFonts w:ascii="Times New Roman" w:eastAsia="Times New Roman" w:hAnsi="Times New Roman" w:cs="Times New Roman"/>
          <w:color w:val="363737"/>
          <w:kern w:val="0"/>
          <w:sz w:val="29"/>
          <w:szCs w:val="29"/>
          <w14:ligatures w14:val="none"/>
        </w:rPr>
        <w:t> — the single strongest predictor in the dataset. Captures both defensive structure and goaltending quality in a single number. Teams with poor goaltending show up here regardless of how well their defense plays. Threshold: ≤3.00 goals against per game. I will dive deeper here in future post to find what individual metrics leads to a low GAA.</w:t>
      </w:r>
    </w:p>
    <w:p w14:paraId="77CF706C"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b/>
          <w:bCs/>
          <w:color w:val="363737"/>
          <w:kern w:val="0"/>
          <w:sz w:val="29"/>
          <w:szCs w:val="29"/>
          <w14:ligatures w14:val="none"/>
        </w:rPr>
        <w:t>Special teams score</w:t>
      </w:r>
      <w:r w:rsidRPr="00646375">
        <w:rPr>
          <w:rFonts w:ascii="Times New Roman" w:eastAsia="Times New Roman" w:hAnsi="Times New Roman" w:cs="Times New Roman"/>
          <w:color w:val="363737"/>
          <w:kern w:val="0"/>
          <w:sz w:val="29"/>
          <w:szCs w:val="29"/>
          <w14:ligatures w14:val="none"/>
        </w:rPr>
        <w:t> — the average of power play percentage and penalty kill percentage. Correlates with winning more strongly than any single even strength metric except goals against. Threshold: top third of the league (≥50.9%).</w:t>
      </w:r>
    </w:p>
    <w:p w14:paraId="6C18C9A1"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b/>
          <w:bCs/>
          <w:color w:val="363737"/>
          <w:kern w:val="0"/>
          <w:sz w:val="29"/>
          <w:szCs w:val="29"/>
          <w14:ligatures w14:val="none"/>
        </w:rPr>
        <w:t>A note on special teams:</w:t>
      </w:r>
      <w:r w:rsidRPr="00646375">
        <w:rPr>
          <w:rFonts w:ascii="Times New Roman" w:eastAsia="Times New Roman" w:hAnsi="Times New Roman" w:cs="Times New Roman"/>
          <w:color w:val="363737"/>
          <w:kern w:val="0"/>
          <w:sz w:val="29"/>
          <w:szCs w:val="29"/>
          <w14:ligatures w14:val="none"/>
        </w:rPr>
        <w:t> We can model the outcomes but not the underlying driver. We believe PP and PK effectiveness is primarily driven by acceleration in tight spaces — first-step quickness in puck battles under one metre. The NHL has not made that data publicly available. Until it is we’re measuring what special teams produces, not what causes it. I will also dive deeper to see if I can find other correlations.</w:t>
      </w:r>
    </w:p>
    <w:p w14:paraId="0DFC22FF"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t>Five teams meet all three pillars this year. Zero teams meet zero — every playoff team has at least one strength.</w:t>
      </w:r>
    </w:p>
    <w:p w14:paraId="1CD74DB5" w14:textId="77777777" w:rsidR="00646375" w:rsidRPr="00646375" w:rsidRDefault="00646375" w:rsidP="00646375">
      <w:pPr>
        <w:spacing w:after="0" w:line="240" w:lineRule="auto"/>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pict w14:anchorId="341512C8">
          <v:rect id="_x0000_i1060" style="width:0;height:.75pt" o:hralign="center" o:hrstd="t" o:hr="t" fillcolor="#a0a0a0" stroked="f"/>
        </w:pict>
      </w:r>
    </w:p>
    <w:p w14:paraId="0ACCCDA8"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b/>
          <w:bCs/>
          <w:color w:val="363737"/>
          <w:kern w:val="0"/>
          <w:sz w:val="29"/>
          <w:szCs w:val="29"/>
          <w14:ligatures w14:val="none"/>
        </w:rPr>
        <w:t>THE EASTERN CONFERENCE</w:t>
      </w:r>
    </w:p>
    <w:p w14:paraId="6DFA62A5" w14:textId="77777777" w:rsidR="00646375" w:rsidRPr="00646375" w:rsidRDefault="00646375" w:rsidP="00646375">
      <w:pPr>
        <w:spacing w:after="0" w:line="240" w:lineRule="auto"/>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pict w14:anchorId="277E462B">
          <v:rect id="_x0000_i1061" style="width:0;height:.75pt" o:hralign="center" o:hrstd="t" o:hr="t" fillcolor="#a0a0a0" stroked="f"/>
        </w:pict>
      </w:r>
    </w:p>
    <w:p w14:paraId="39A7521F"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b/>
          <w:bCs/>
          <w:color w:val="363737"/>
          <w:kern w:val="0"/>
          <w:sz w:val="29"/>
          <w:szCs w:val="29"/>
          <w14:ligatures w14:val="none"/>
        </w:rPr>
        <w:lastRenderedPageBreak/>
        <w:t>Buffalo vs Boston</w:t>
      </w:r>
    </w:p>
    <w:p w14:paraId="6306449A"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t>Buffalo is a two-pillar team that barely misses a third — their special teams score of 50.7% falls 0.15 percentage points below the threshold. In practice they’re as complete as any three-pillar team in the field. Net-front rate of 34.0% is among the highest in the playoff field. Goals against of exactly 3.000 clears the threshold.</w:t>
      </w:r>
    </w:p>
    <w:p w14:paraId="0282C3E1"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t>Boston meets one pillar — net-front rate at 31.0%. Their goals against (3.073) and special teams (50.2%) both fall short. They’re a team with offensive net-front instincts but defensive and special teams vulnerabilities the model can’t ignore.</w:t>
      </w:r>
    </w:p>
    <w:p w14:paraId="6DA152D8"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b/>
          <w:bCs/>
          <w:color w:val="363737"/>
          <w:kern w:val="0"/>
          <w:sz w:val="29"/>
          <w:szCs w:val="29"/>
          <w14:ligatures w14:val="none"/>
        </w:rPr>
        <w:t>Model pick: Buffalo — High confidence</w:t>
      </w:r>
    </w:p>
    <w:p w14:paraId="60F42CF1" w14:textId="77777777" w:rsidR="00646375" w:rsidRPr="00646375" w:rsidRDefault="00646375" w:rsidP="00646375">
      <w:pPr>
        <w:spacing w:after="0" w:line="240" w:lineRule="auto"/>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pict w14:anchorId="3256AC59">
          <v:rect id="_x0000_i1062" style="width:0;height:.75pt" o:hralign="center" o:hrstd="t" o:hr="t" fillcolor="#a0a0a0" stroked="f"/>
        </w:pict>
      </w:r>
    </w:p>
    <w:p w14:paraId="126D0FB7"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b/>
          <w:bCs/>
          <w:color w:val="363737"/>
          <w:kern w:val="0"/>
          <w:sz w:val="29"/>
          <w:szCs w:val="29"/>
          <w14:ligatures w14:val="none"/>
        </w:rPr>
        <w:t>Tampa Bay vs Montreal</w:t>
      </w:r>
    </w:p>
    <w:p w14:paraId="7D00A41D"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t>Tampa meets all three pillars — net-front rate (33.9%), goals against (2.866), special teams (51.6%). Montreal meets one — net-front rate at 34.2%, but goals against of 3.207 and special teams of 50.7% both fall short.</w:t>
      </w:r>
    </w:p>
    <w:p w14:paraId="1CA4D510"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t>Montreal’s .646 points percentage is the biggest anomaly in the dataset — a strong regular season record despite failing two pillars. That kind of overperformance relative to underlying metrics typically regresses. Tampa’s Cirelli and Guentzel are legitimate Tier 1 net-front players with elite trajectory. Their system is built around exactly what the model values.</w:t>
      </w:r>
    </w:p>
    <w:p w14:paraId="7A8E8945"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b/>
          <w:bCs/>
          <w:color w:val="363737"/>
          <w:kern w:val="0"/>
          <w:sz w:val="29"/>
          <w:szCs w:val="29"/>
          <w14:ligatures w14:val="none"/>
        </w:rPr>
        <w:t>Model pick: Tampa Bay — High confidence</w:t>
      </w:r>
    </w:p>
    <w:p w14:paraId="493520B0" w14:textId="77777777" w:rsidR="00646375" w:rsidRPr="00646375" w:rsidRDefault="00646375" w:rsidP="00646375">
      <w:pPr>
        <w:spacing w:after="0" w:line="240" w:lineRule="auto"/>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pict w14:anchorId="421EAC2C">
          <v:rect id="_x0000_i1063" style="width:0;height:.75pt" o:hralign="center" o:hrstd="t" o:hr="t" fillcolor="#a0a0a0" stroked="f"/>
        </w:pict>
      </w:r>
    </w:p>
    <w:p w14:paraId="1633ED1C"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b/>
          <w:bCs/>
          <w:color w:val="363737"/>
          <w:kern w:val="0"/>
          <w:sz w:val="29"/>
          <w:szCs w:val="29"/>
          <w14:ligatures w14:val="none"/>
        </w:rPr>
        <w:t>Carolina vs Ottawa</w:t>
      </w:r>
    </w:p>
    <w:p w14:paraId="611C1799"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lastRenderedPageBreak/>
        <w:t>Carolina meets all three pillars — net-front rate (32.0%), goals against (2.963), special teams (52.7%). Ottawa meets one — net-front rate only at 34.7%, with goals against of 3.012 and special teams of 49.8% both falling below threshold.</w:t>
      </w:r>
    </w:p>
    <w:p w14:paraId="0DC22CEA"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t>Carolina’s defensive advantage is the decisive factor. Their forwards generate the fewest rush chances against of any team in the dataset across multiple seasons. Stankoven, Aho, Kotkaniemi, Blake — the system has been elite at preventing transition chances consistently. Ottawa is dangerous and young but Carolina’s system maturity is the edge.</w:t>
      </w:r>
    </w:p>
    <w:p w14:paraId="6D41C8CC"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b/>
          <w:bCs/>
          <w:color w:val="363737"/>
          <w:kern w:val="0"/>
          <w:sz w:val="29"/>
          <w:szCs w:val="29"/>
          <w14:ligatures w14:val="none"/>
        </w:rPr>
        <w:t>Model pick: Carolina — Medium confidence</w:t>
      </w:r>
    </w:p>
    <w:p w14:paraId="0FC1385E"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t>This goes six or seven games.</w:t>
      </w:r>
    </w:p>
    <w:p w14:paraId="029C242D" w14:textId="77777777" w:rsidR="00646375" w:rsidRPr="00646375" w:rsidRDefault="00646375" w:rsidP="00646375">
      <w:pPr>
        <w:spacing w:after="0" w:line="240" w:lineRule="auto"/>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pict w14:anchorId="2DBFE5A8">
          <v:rect id="_x0000_i1064" style="width:0;height:.75pt" o:hralign="center" o:hrstd="t" o:hr="t" fillcolor="#a0a0a0" stroked="f"/>
        </w:pict>
      </w:r>
    </w:p>
    <w:p w14:paraId="3B248466"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b/>
          <w:bCs/>
          <w:color w:val="363737"/>
          <w:kern w:val="0"/>
          <w:sz w:val="29"/>
          <w:szCs w:val="29"/>
          <w14:ligatures w14:val="none"/>
        </w:rPr>
        <w:t>Pittsburgh vs Philadelphia</w:t>
      </w:r>
    </w:p>
    <w:p w14:paraId="02F823CA"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t>Pittsburgh meets two pillars — net-front rate (36.9%) and special teams (52.8%). Goals against of 3.378 is the weakness. Philadelphia meets one pillar — net-front rate only at 36.4%, with goals against of 3.024 and special teams of 46.6% both falling short.</w:t>
      </w:r>
    </w:p>
    <w:p w14:paraId="0481A1A0"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t>In a series between two incomplete teams, net-front personnel and special teams decide it. Mantha (CI-confirmed elite), Rust, and Crosby give Pittsburgh three Tier 1 net-front forwards. Philadelphia’s Noah Cates is their only confirmed Tier 1 player. Pittsburgh’s special teams edge (52.8% vs 46.6%) is the largest gap in any Eastern matchup.</w:t>
      </w:r>
    </w:p>
    <w:p w14:paraId="7C22352A"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b/>
          <w:bCs/>
          <w:color w:val="363737"/>
          <w:kern w:val="0"/>
          <w:sz w:val="29"/>
          <w:szCs w:val="29"/>
          <w14:ligatures w14:val="none"/>
        </w:rPr>
        <w:t>Model pick: Pittsburgh — Medium confidence</w:t>
      </w:r>
    </w:p>
    <w:p w14:paraId="475E8C61" w14:textId="77777777" w:rsidR="00646375" w:rsidRPr="00646375" w:rsidRDefault="00646375" w:rsidP="00646375">
      <w:pPr>
        <w:spacing w:after="0" w:line="240" w:lineRule="auto"/>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pict w14:anchorId="35DA376C">
          <v:rect id="_x0000_i1065" style="width:0;height:.75pt" o:hralign="center" o:hrstd="t" o:hr="t" fillcolor="#a0a0a0" stroked="f"/>
        </w:pict>
      </w:r>
    </w:p>
    <w:p w14:paraId="113C4EAA"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b/>
          <w:bCs/>
          <w:color w:val="363737"/>
          <w:kern w:val="0"/>
          <w:sz w:val="29"/>
          <w:szCs w:val="29"/>
          <w14:ligatures w14:val="none"/>
        </w:rPr>
        <w:t>THE WESTERN CONFERENCE</w:t>
      </w:r>
    </w:p>
    <w:p w14:paraId="51A29909" w14:textId="77777777" w:rsidR="00646375" w:rsidRPr="00646375" w:rsidRDefault="00646375" w:rsidP="00646375">
      <w:pPr>
        <w:spacing w:after="0" w:line="240" w:lineRule="auto"/>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pict w14:anchorId="0F8CF876">
          <v:rect id="_x0000_i1066" style="width:0;height:.75pt" o:hralign="center" o:hrstd="t" o:hr="t" fillcolor="#a0a0a0" stroked="f"/>
        </w:pict>
      </w:r>
    </w:p>
    <w:p w14:paraId="65D5E0D5"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b/>
          <w:bCs/>
          <w:color w:val="363737"/>
          <w:kern w:val="0"/>
          <w:sz w:val="29"/>
          <w:szCs w:val="29"/>
          <w14:ligatures w14:val="none"/>
        </w:rPr>
        <w:lastRenderedPageBreak/>
        <w:t>Colorado vs Los Angeles</w:t>
      </w:r>
    </w:p>
    <w:p w14:paraId="591F412A"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t>Colorado is the model’s most interesting team. They rank 21st in net-front attempt rate among all playoff teams — lowest of any three-pillar team. Yet they have five of the top net-front forwards in the league by career composite: Nichushkin, Lehkonen, Nelson, MacKinnon, and Rantanen. Best even strength save percentage in the league. Best goals against in the league. Special teams at 50.9% clears the threshold by the thinnest margin.</w:t>
      </w:r>
    </w:p>
    <w:p w14:paraId="1F13D6C8"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t>The story isn’t volume — it’s quality. When Colorado’s elite net-front forwards get to the doorstep they convert at above-average rates. The system doesn’t send them there on every shift. It sends them there when it counts.</w:t>
      </w:r>
    </w:p>
    <w:p w14:paraId="5723670F"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t>LA meets one pillar — net-front rate at 33.4%. Goals against of 3.136 and special teams of 45.8% — the worst in the playoff field — both fall well below threshold.</w:t>
      </w:r>
    </w:p>
    <w:p w14:paraId="04359154"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b/>
          <w:bCs/>
          <w:color w:val="363737"/>
          <w:kern w:val="0"/>
          <w:sz w:val="29"/>
          <w:szCs w:val="29"/>
          <w14:ligatures w14:val="none"/>
        </w:rPr>
        <w:t>Model pick: Colorado — High confidence</w:t>
      </w:r>
    </w:p>
    <w:p w14:paraId="1615060E" w14:textId="77777777" w:rsidR="00646375" w:rsidRPr="00646375" w:rsidRDefault="00646375" w:rsidP="00646375">
      <w:pPr>
        <w:spacing w:after="0" w:line="240" w:lineRule="auto"/>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pict w14:anchorId="2E24929F">
          <v:rect id="_x0000_i1067" style="width:0;height:.75pt" o:hralign="center" o:hrstd="t" o:hr="t" fillcolor="#a0a0a0" stroked="f"/>
        </w:pict>
      </w:r>
    </w:p>
    <w:p w14:paraId="3F9605F3"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b/>
          <w:bCs/>
          <w:color w:val="363737"/>
          <w:kern w:val="0"/>
          <w:sz w:val="29"/>
          <w:szCs w:val="29"/>
          <w14:ligatures w14:val="none"/>
        </w:rPr>
        <w:t>Dallas vs Minnesota</w:t>
      </w:r>
    </w:p>
    <w:p w14:paraId="796F2453"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t>The best first-round matchup in the playoffs by the model. Two three-pillar teams meeting in Round 1.</w:t>
      </w:r>
    </w:p>
    <w:p w14:paraId="37D17751"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t>Dallas — net-front rate (37.1%), goals against (2.841), special teams (54.5%, highest in the playoff field). The most complete team in the West. They acquired Bunting at the deadline — the player this model identified as the best available net-front forward on the market. Robertson is CI-confirmed elite on the two-way composite.</w:t>
      </w:r>
    </w:p>
    <w:p w14:paraId="79DB3F4E"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t>Minnesota — net-front rate (37.6%), goals against (exactly 3.000), special teams (52.5%). Eriksson Ek and Tarasenko are legitimate Tier 1 net-front players. Their system is built similarly to Dallas’s but with slightly less depth.</w:t>
      </w:r>
    </w:p>
    <w:p w14:paraId="6B188E37"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lastRenderedPageBreak/>
        <w:t>Dallas edges it on goals against (2.841 vs 3.000) and net-front roster depth by career composite rankings.</w:t>
      </w:r>
    </w:p>
    <w:p w14:paraId="2814CFFD"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b/>
          <w:bCs/>
          <w:color w:val="363737"/>
          <w:kern w:val="0"/>
          <w:sz w:val="29"/>
          <w:szCs w:val="29"/>
          <w14:ligatures w14:val="none"/>
        </w:rPr>
        <w:t>Model pick: Dallas — Medium confidence</w:t>
      </w:r>
    </w:p>
    <w:p w14:paraId="417BE810"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t>Don’t sleep on Minnesota. This goes six or seven games.</w:t>
      </w:r>
    </w:p>
    <w:p w14:paraId="49828EC5" w14:textId="77777777" w:rsidR="00646375" w:rsidRPr="00646375" w:rsidRDefault="00646375" w:rsidP="00646375">
      <w:pPr>
        <w:spacing w:after="0" w:line="240" w:lineRule="auto"/>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pict w14:anchorId="4C19A9BD">
          <v:rect id="_x0000_i1068" style="width:0;height:.75pt" o:hralign="center" o:hrstd="t" o:hr="t" fillcolor="#a0a0a0" stroked="f"/>
        </w:pict>
      </w:r>
    </w:p>
    <w:p w14:paraId="30ABF70E"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b/>
          <w:bCs/>
          <w:color w:val="363737"/>
          <w:kern w:val="0"/>
          <w:sz w:val="29"/>
          <w:szCs w:val="29"/>
          <w14:ligatures w14:val="none"/>
        </w:rPr>
        <w:t>Edmonton vs Anaheim</w:t>
      </w:r>
    </w:p>
    <w:p w14:paraId="5031A59B"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t>Edmonton meets two pillars — net-front rate (37.4%) and special teams (54.2%, second highest in the playoff field). Goals against of 3.358 is the vulnerability — fifth worst among all 16 playoff teams.</w:t>
      </w:r>
    </w:p>
    <w:p w14:paraId="1BAB1D21"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t>Anaheim meets one pillar — net-front rate only at 35.5%. Goals against of 3.568 is the worst in the playoff field. Special teams at 47.5% falls well below threshold.</w:t>
      </w:r>
    </w:p>
    <w:p w14:paraId="0E892B18"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t>Edmonton’s special teams advantage is significant — 54.2% vs 47.5% is a gap that will show up across a series. McDavid on the power play is a force the model can’t fully quantify.</w:t>
      </w:r>
    </w:p>
    <w:p w14:paraId="3F4702B9"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t>The honest vulnerability: Edmonton’s goaltending is the worst among teams with legitimate playoff aspirations however Ingram has played well recently. If the series extends past five games and goaltending variance takes over they’re exposed. Anaheim is the weakest opponent they could have drawn — which is the only reason the model has any confidence here at all.</w:t>
      </w:r>
    </w:p>
    <w:p w14:paraId="2240463B"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b/>
          <w:bCs/>
          <w:color w:val="363737"/>
          <w:kern w:val="0"/>
          <w:sz w:val="29"/>
          <w:szCs w:val="29"/>
          <w14:ligatures w14:val="none"/>
        </w:rPr>
        <w:t>Model pick: Edmonton — Medium confidence</w:t>
      </w:r>
    </w:p>
    <w:p w14:paraId="16D302CD" w14:textId="77777777" w:rsidR="00646375" w:rsidRPr="00646375" w:rsidRDefault="00646375" w:rsidP="00646375">
      <w:pPr>
        <w:spacing w:after="0" w:line="240" w:lineRule="auto"/>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pict w14:anchorId="0F91988C">
          <v:rect id="_x0000_i1069" style="width:0;height:.75pt" o:hralign="center" o:hrstd="t" o:hr="t" fillcolor="#a0a0a0" stroked="f"/>
        </w:pict>
      </w:r>
    </w:p>
    <w:p w14:paraId="381F433F"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b/>
          <w:bCs/>
          <w:color w:val="363737"/>
          <w:kern w:val="0"/>
          <w:sz w:val="29"/>
          <w:szCs w:val="29"/>
          <w14:ligatures w14:val="none"/>
        </w:rPr>
        <w:t>Vegas vs Utah</w:t>
      </w:r>
    </w:p>
    <w:p w14:paraId="22639A63"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t>The model’s most debated matchup and the upset pick of the entire bracket.</w:t>
      </w:r>
    </w:p>
    <w:p w14:paraId="62267AEA"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lastRenderedPageBreak/>
        <w:t>Vegas meets two pillars — net-front rate (33.3%) and special teams (53.0%). Goals against of 3.110 falls below threshold. Their even strength goaltending ranked among the worst in the playoff field during the regular season.</w:t>
      </w:r>
    </w:p>
    <w:p w14:paraId="794650A0"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t>Utah meets two pillars — net-front rate (35.8%) and goals against (2.901). Special teams of 49.1% falls below threshold. Their defensive structure has been one of the most improved in the league this season.</w:t>
      </w:r>
    </w:p>
    <w:p w14:paraId="1990005D"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t>Two pillars each. The tiebreaker is goals against — Utah’s 2.901 vs Vegas’s 3.110. Goals against is the strongest predictor in the model. Utah’s defensive structure wins the tiebreaker.</w:t>
      </w:r>
    </w:p>
    <w:p w14:paraId="446ABB63"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t>Here’s where I’ll be transparent about the model’s limits. Vegas has a new coaching system that may be creating faster play the season-long data doesn’t fully capture yet. Carter Hart has been strong since returning from injury, small sample, but a hot goalie in the playoffs can carry a team past what any model predicts. Price in 2021 is the proof of concept.</w:t>
      </w:r>
    </w:p>
    <w:p w14:paraId="4DA3A95E"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t>My gut says watch Vegas closely. The model says Utah. I’m standing behind the model, but this is the prediction I hold with the least confidence in the entire bracket.</w:t>
      </w:r>
    </w:p>
    <w:p w14:paraId="1AA56447"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b/>
          <w:bCs/>
          <w:color w:val="363737"/>
          <w:kern w:val="0"/>
          <w:sz w:val="29"/>
          <w:szCs w:val="29"/>
          <w14:ligatures w14:val="none"/>
        </w:rPr>
        <w:t>Model pick: Utah — Low confidence</w:t>
      </w:r>
    </w:p>
    <w:p w14:paraId="5604A533" w14:textId="77777777" w:rsidR="00646375" w:rsidRPr="00646375" w:rsidRDefault="00646375" w:rsidP="00646375">
      <w:pPr>
        <w:spacing w:after="0" w:line="240" w:lineRule="auto"/>
        <w:rPr>
          <w:rFonts w:ascii="Times New Roman" w:eastAsia="Times New Roman" w:hAnsi="Times New Roman" w:cs="Times New Roman"/>
          <w:color w:val="0000FF"/>
          <w:kern w:val="0"/>
          <w:bdr w:val="none" w:sz="0" w:space="0" w:color="auto" w:frame="1"/>
          <w14:ligatures w14:val="none"/>
        </w:rPr>
      </w:pPr>
      <w:r w:rsidRPr="00646375">
        <w:rPr>
          <w:rFonts w:ascii="Times New Roman" w:eastAsia="Times New Roman" w:hAnsi="Times New Roman" w:cs="Times New Roman"/>
          <w:color w:val="363737"/>
          <w:kern w:val="0"/>
          <w:sz w:val="29"/>
          <w:szCs w:val="29"/>
          <w14:ligatures w14:val="none"/>
        </w:rPr>
        <w:fldChar w:fldCharType="begin"/>
      </w:r>
      <w:r w:rsidRPr="00646375">
        <w:rPr>
          <w:rFonts w:ascii="Times New Roman" w:eastAsia="Times New Roman" w:hAnsi="Times New Roman" w:cs="Times New Roman"/>
          <w:color w:val="363737"/>
          <w:kern w:val="0"/>
          <w:sz w:val="29"/>
          <w:szCs w:val="29"/>
          <w14:ligatures w14:val="none"/>
        </w:rPr>
        <w:instrText>HYPERLINK "https://substackcdn.com/image/fetch/$s_!z4UY!,f_auto,q_auto:good,fl_progressive:steep/https%3A%2F%2Fsubstack-post-media.s3.amazonaws.com%2Fpublic%2Fimages%2F26423da6-684e-49c1-868e-89de953385bd_1709x1438.png" \t "_blank"</w:instrText>
      </w:r>
      <w:r w:rsidRPr="00646375">
        <w:rPr>
          <w:rFonts w:ascii="Times New Roman" w:eastAsia="Times New Roman" w:hAnsi="Times New Roman" w:cs="Times New Roman"/>
          <w:color w:val="363737"/>
          <w:kern w:val="0"/>
          <w:sz w:val="29"/>
          <w:szCs w:val="29"/>
          <w14:ligatures w14:val="none"/>
        </w:rPr>
      </w:r>
      <w:r w:rsidRPr="00646375">
        <w:rPr>
          <w:rFonts w:ascii="Times New Roman" w:eastAsia="Times New Roman" w:hAnsi="Times New Roman" w:cs="Times New Roman"/>
          <w:color w:val="363737"/>
          <w:kern w:val="0"/>
          <w:sz w:val="29"/>
          <w:szCs w:val="29"/>
          <w14:ligatures w14:val="none"/>
        </w:rPr>
        <w:fldChar w:fldCharType="separate"/>
      </w:r>
    </w:p>
    <w:p w14:paraId="0B427238" w14:textId="214EE50E" w:rsidR="00646375" w:rsidRPr="00646375" w:rsidRDefault="00646375" w:rsidP="00646375">
      <w:pPr>
        <w:spacing w:after="0" w:line="240" w:lineRule="auto"/>
        <w:rPr>
          <w:rFonts w:ascii="Times New Roman" w:eastAsia="Times New Roman" w:hAnsi="Times New Roman" w:cs="Times New Roman"/>
          <w:kern w:val="0"/>
          <w14:ligatures w14:val="none"/>
        </w:rPr>
      </w:pPr>
      <w:r w:rsidRPr="00646375">
        <w:rPr>
          <w:rFonts w:ascii="Times New Roman" w:eastAsia="Times New Roman" w:hAnsi="Times New Roman" w:cs="Times New Roman"/>
          <w:color w:val="0000FF"/>
          <w:kern w:val="0"/>
          <w:sz w:val="29"/>
          <w:szCs w:val="29"/>
          <w:bdr w:val="none" w:sz="0" w:space="0" w:color="auto" w:frame="1"/>
          <w14:ligatures w14:val="none"/>
        </w:rPr>
        <w:lastRenderedPageBreak/>
        <w:fldChar w:fldCharType="begin"/>
      </w:r>
      <w:r w:rsidRPr="00646375">
        <w:rPr>
          <w:rFonts w:ascii="Times New Roman" w:eastAsia="Times New Roman" w:hAnsi="Times New Roman" w:cs="Times New Roman"/>
          <w:color w:val="0000FF"/>
          <w:kern w:val="0"/>
          <w:sz w:val="29"/>
          <w:szCs w:val="29"/>
          <w:bdr w:val="none" w:sz="0" w:space="0" w:color="auto" w:frame="1"/>
          <w14:ligatures w14:val="none"/>
        </w:rPr>
        <w:instrText xml:space="preserve"> INCLUDEPICTURE "/Users/ashgarg/Library/Group Containers/UBF8T346G9.ms/WebArchiveCopyPasteTempFiles/com.microsoft.Word/https%3A%2F%2Fsubstack-post-media.s3.amazonaws.com%2Fpublic%2Fimages%2F26423da6-684e-49c1-868e-89de953385bd_1709x1438.png" \* MERGEFORMATINET </w:instrText>
      </w:r>
      <w:r w:rsidRPr="00646375">
        <w:rPr>
          <w:rFonts w:ascii="Times New Roman" w:eastAsia="Times New Roman" w:hAnsi="Times New Roman" w:cs="Times New Roman"/>
          <w:color w:val="0000FF"/>
          <w:kern w:val="0"/>
          <w:sz w:val="29"/>
          <w:szCs w:val="29"/>
          <w:bdr w:val="none" w:sz="0" w:space="0" w:color="auto" w:frame="1"/>
          <w14:ligatures w14:val="none"/>
        </w:rPr>
        <w:fldChar w:fldCharType="separate"/>
      </w:r>
      <w:r w:rsidRPr="00646375">
        <w:rPr>
          <w:rFonts w:ascii="Times New Roman" w:eastAsia="Times New Roman" w:hAnsi="Times New Roman" w:cs="Times New Roman"/>
          <w:noProof/>
          <w:color w:val="0000FF"/>
          <w:kern w:val="0"/>
          <w:sz w:val="29"/>
          <w:szCs w:val="29"/>
          <w:bdr w:val="none" w:sz="0" w:space="0" w:color="auto" w:frame="1"/>
          <w14:ligatures w14:val="none"/>
        </w:rPr>
        <w:drawing>
          <wp:inline distT="0" distB="0" distL="0" distR="0" wp14:anchorId="5F95E103" wp14:editId="430D4BDA">
            <wp:extent cx="5943600" cy="4998720"/>
            <wp:effectExtent l="0" t="0" r="0" b="5080"/>
            <wp:docPr id="1494407354" name="Picture 1">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a:hlinkClick r:id="rId8" tgtFrame="&quot;_blank&quo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998720"/>
                    </a:xfrm>
                    <a:prstGeom prst="rect">
                      <a:avLst/>
                    </a:prstGeom>
                    <a:noFill/>
                    <a:ln>
                      <a:noFill/>
                    </a:ln>
                  </pic:spPr>
                </pic:pic>
              </a:graphicData>
            </a:graphic>
          </wp:inline>
        </w:drawing>
      </w:r>
      <w:r w:rsidRPr="00646375">
        <w:rPr>
          <w:rFonts w:ascii="Times New Roman" w:eastAsia="Times New Roman" w:hAnsi="Times New Roman" w:cs="Times New Roman"/>
          <w:color w:val="0000FF"/>
          <w:kern w:val="0"/>
          <w:sz w:val="29"/>
          <w:szCs w:val="29"/>
          <w:bdr w:val="none" w:sz="0" w:space="0" w:color="auto" w:frame="1"/>
          <w14:ligatures w14:val="none"/>
        </w:rPr>
        <w:fldChar w:fldCharType="end"/>
      </w:r>
    </w:p>
    <w:p w14:paraId="0F2475E9" w14:textId="77777777" w:rsidR="00646375" w:rsidRPr="00646375" w:rsidRDefault="00646375" w:rsidP="00646375">
      <w:pPr>
        <w:spacing w:after="0" w:line="240" w:lineRule="auto"/>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color w:val="363737"/>
          <w:kern w:val="0"/>
          <w:sz w:val="29"/>
          <w:szCs w:val="29"/>
          <w14:ligatures w14:val="none"/>
        </w:rPr>
        <w:fldChar w:fldCharType="end"/>
      </w:r>
    </w:p>
    <w:p w14:paraId="04CC1B87"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i/>
          <w:iCs/>
          <w:color w:val="363737"/>
          <w:kern w:val="0"/>
          <w:sz w:val="29"/>
          <w:szCs w:val="29"/>
          <w14:ligatures w14:val="none"/>
        </w:rPr>
        <w:t>Special teams score for all 16 playoff teams. Gold bars meet the top-third threshold (50.9%). Edmonton and Dallas lead the playoff field. LA and Philadelphia are the weakest special teams teams in the bracket.</w:t>
      </w:r>
    </w:p>
    <w:p w14:paraId="2548C025" w14:textId="77777777" w:rsidR="00646375" w:rsidRPr="00646375" w:rsidRDefault="00F45CD3" w:rsidP="00646375">
      <w:pPr>
        <w:spacing w:after="0" w:line="240" w:lineRule="auto"/>
        <w:rPr>
          <w:rFonts w:ascii="Times New Roman" w:eastAsia="Times New Roman" w:hAnsi="Times New Roman" w:cs="Times New Roman"/>
          <w:color w:val="363737"/>
          <w:kern w:val="0"/>
          <w:sz w:val="29"/>
          <w:szCs w:val="29"/>
          <w14:ligatures w14:val="none"/>
        </w:rPr>
      </w:pPr>
      <w:r w:rsidRPr="00F45CD3">
        <w:rPr>
          <w:rFonts w:ascii="Times New Roman" w:eastAsia="Times New Roman" w:hAnsi="Times New Roman" w:cs="Times New Roman"/>
          <w:noProof/>
          <w:color w:val="363737"/>
          <w:kern w:val="0"/>
          <w:sz w:val="29"/>
          <w:szCs w:val="29"/>
        </w:rPr>
        <w:pict w14:anchorId="5128D1EA">
          <v:rect id="_x0000_i1072" alt="" style="width:468pt;height:.05pt;mso-width-percent:0;mso-height-percent:0;mso-width-percent:0;mso-height-percent:0" o:hralign="center" o:hrstd="t" o:hr="t" fillcolor="#a0a0a0" stroked="f"/>
        </w:pict>
      </w:r>
    </w:p>
    <w:p w14:paraId="73000476"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b/>
          <w:bCs/>
          <w:color w:val="363737"/>
          <w:kern w:val="0"/>
          <w:sz w:val="29"/>
          <w:szCs w:val="29"/>
          <w14:ligatures w14:val="none"/>
        </w:rPr>
        <w:t>Three teams to watch for deep runs:</w:t>
      </w:r>
      <w:r w:rsidRPr="00646375">
        <w:rPr>
          <w:rFonts w:ascii="Times New Roman" w:eastAsia="Times New Roman" w:hAnsi="Times New Roman" w:cs="Times New Roman"/>
          <w:color w:val="363737"/>
          <w:kern w:val="0"/>
          <w:sz w:val="29"/>
          <w:szCs w:val="29"/>
          <w14:ligatures w14:val="none"/>
        </w:rPr>
        <w:t> Colorado, Carolina, Dallas. All three-pillar teams with elite net-front forward rosters and sustainable defensive structures. If the model is right at least two of these three are playing in May.</w:t>
      </w:r>
    </w:p>
    <w:p w14:paraId="62B80579"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b/>
          <w:bCs/>
          <w:color w:val="363737"/>
          <w:kern w:val="0"/>
          <w:sz w:val="29"/>
          <w:szCs w:val="29"/>
          <w14:ligatures w14:val="none"/>
        </w:rPr>
        <w:t>The series that tells us most about the model:</w:t>
      </w:r>
      <w:r w:rsidRPr="00646375">
        <w:rPr>
          <w:rFonts w:ascii="Times New Roman" w:eastAsia="Times New Roman" w:hAnsi="Times New Roman" w:cs="Times New Roman"/>
          <w:color w:val="363737"/>
          <w:kern w:val="0"/>
          <w:sz w:val="29"/>
          <w:szCs w:val="29"/>
          <w14:ligatures w14:val="none"/>
        </w:rPr>
        <w:t xml:space="preserve"> Vegas vs Utah. If Utah wins, the three-pillar framework beats conventional wisdom. If Vegas wins, the new </w:t>
      </w:r>
      <w:r w:rsidRPr="00646375">
        <w:rPr>
          <w:rFonts w:ascii="Times New Roman" w:eastAsia="Times New Roman" w:hAnsi="Times New Roman" w:cs="Times New Roman"/>
          <w:color w:val="363737"/>
          <w:kern w:val="0"/>
          <w:sz w:val="29"/>
          <w:szCs w:val="29"/>
          <w14:ligatures w14:val="none"/>
        </w:rPr>
        <w:lastRenderedPageBreak/>
        <w:t>coaching system and Carter Hart were real factors the season-long data couldn’t capture.</w:t>
      </w:r>
    </w:p>
    <w:p w14:paraId="48B6CE4B" w14:textId="77777777" w:rsidR="00646375" w:rsidRPr="00646375" w:rsidRDefault="00F45CD3" w:rsidP="00646375">
      <w:pPr>
        <w:spacing w:after="0" w:line="240" w:lineRule="auto"/>
        <w:rPr>
          <w:rFonts w:ascii="Times New Roman" w:eastAsia="Times New Roman" w:hAnsi="Times New Roman" w:cs="Times New Roman"/>
          <w:color w:val="363737"/>
          <w:kern w:val="0"/>
          <w:sz w:val="29"/>
          <w:szCs w:val="29"/>
          <w14:ligatures w14:val="none"/>
        </w:rPr>
      </w:pPr>
      <w:r w:rsidRPr="00F45CD3">
        <w:rPr>
          <w:rFonts w:ascii="Times New Roman" w:eastAsia="Times New Roman" w:hAnsi="Times New Roman" w:cs="Times New Roman"/>
          <w:noProof/>
          <w:color w:val="363737"/>
          <w:kern w:val="0"/>
          <w:sz w:val="29"/>
          <w:szCs w:val="29"/>
        </w:rPr>
        <w:pict w14:anchorId="1E26ED0D">
          <v:rect id="_x0000_i1071" alt="" style="width:468pt;height:.05pt;mso-width-percent:0;mso-height-percent:0;mso-width-percent:0;mso-height-percent:0" o:hralign="center" o:hrstd="t" o:hr="t" fillcolor="#a0a0a0" stroked="f"/>
        </w:pict>
      </w:r>
    </w:p>
    <w:p w14:paraId="2814FD32"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b/>
          <w:bCs/>
          <w:color w:val="363737"/>
          <w:kern w:val="0"/>
          <w:sz w:val="29"/>
          <w:szCs w:val="29"/>
          <w14:ligatures w14:val="none"/>
        </w:rPr>
        <w:t>Round 2 preview:</w:t>
      </w:r>
      <w:r w:rsidRPr="00646375">
        <w:rPr>
          <w:rFonts w:ascii="Times New Roman" w:eastAsia="Times New Roman" w:hAnsi="Times New Roman" w:cs="Times New Roman"/>
          <w:color w:val="363737"/>
          <w:kern w:val="0"/>
          <w:sz w:val="29"/>
          <w:szCs w:val="29"/>
          <w14:ligatures w14:val="none"/>
        </w:rPr>
        <w:t> The defensive suppression and goaltending models are currently being built from the same NHL API shot event database. Forward net-front framework is complete. Full data-driven predictions coming before Round 2 starts. The model gets sharper.</w:t>
      </w:r>
    </w:p>
    <w:p w14:paraId="48423ADC" w14:textId="77777777" w:rsidR="00646375" w:rsidRPr="00646375" w:rsidRDefault="00F45CD3" w:rsidP="00646375">
      <w:pPr>
        <w:spacing w:after="0" w:line="240" w:lineRule="auto"/>
        <w:rPr>
          <w:rFonts w:ascii="Times New Roman" w:eastAsia="Times New Roman" w:hAnsi="Times New Roman" w:cs="Times New Roman"/>
          <w:color w:val="363737"/>
          <w:kern w:val="0"/>
          <w:sz w:val="29"/>
          <w:szCs w:val="29"/>
          <w14:ligatures w14:val="none"/>
        </w:rPr>
      </w:pPr>
      <w:r w:rsidRPr="00F45CD3">
        <w:rPr>
          <w:rFonts w:ascii="Times New Roman" w:eastAsia="Times New Roman" w:hAnsi="Times New Roman" w:cs="Times New Roman"/>
          <w:noProof/>
          <w:color w:val="363737"/>
          <w:kern w:val="0"/>
          <w:sz w:val="29"/>
          <w:szCs w:val="29"/>
        </w:rPr>
        <w:pict w14:anchorId="56BF9C7A">
          <v:rect id="_x0000_i1070" alt="" style="width:468pt;height:.05pt;mso-width-percent:0;mso-height-percent:0;mso-width-percent:0;mso-height-percent:0" o:hralign="center" o:hrstd="t" o:hr="t" fillcolor="#a0a0a0" stroked="f"/>
        </w:pict>
      </w:r>
    </w:p>
    <w:p w14:paraId="2FD8DFA4"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b/>
          <w:bCs/>
          <w:color w:val="363737"/>
          <w:kern w:val="0"/>
          <w:sz w:val="29"/>
          <w:szCs w:val="29"/>
          <w14:ligatures w14:val="none"/>
        </w:rPr>
        <w:t>Model limitations:</w:t>
      </w:r>
      <w:r w:rsidRPr="00646375">
        <w:rPr>
          <w:rFonts w:ascii="Times New Roman" w:eastAsia="Times New Roman" w:hAnsi="Times New Roman" w:cs="Times New Roman"/>
          <w:color w:val="363737"/>
          <w:kern w:val="0"/>
          <w:sz w:val="29"/>
          <w:szCs w:val="29"/>
          <w14:ligatures w14:val="none"/>
        </w:rPr>
        <w:t> Even strength data plus PP% and PK% outcomes. 86% holdout accuracy means roughly one to two predictions here are wrong. System vs player effects not fully separable without tracking data. Full methodology at github.com/HockeyROI/nhl-analytics.</w:t>
      </w:r>
    </w:p>
    <w:p w14:paraId="2E0868A0" w14:textId="77777777" w:rsidR="00646375" w:rsidRPr="00646375" w:rsidRDefault="00646375" w:rsidP="00646375">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646375">
        <w:rPr>
          <w:rFonts w:ascii="Times New Roman" w:eastAsia="Times New Roman" w:hAnsi="Times New Roman" w:cs="Times New Roman"/>
          <w:i/>
          <w:iCs/>
          <w:color w:val="363737"/>
          <w:kern w:val="0"/>
          <w:sz w:val="29"/>
          <w:szCs w:val="29"/>
          <w14:ligatures w14:val="none"/>
        </w:rPr>
        <w:t>@HockeyROI on X | hockeyROI.substack.com</w:t>
      </w:r>
    </w:p>
    <w:p w14:paraId="232C80E5" w14:textId="77777777" w:rsidR="00EF2620" w:rsidRPr="00646375" w:rsidRDefault="00EF2620" w:rsidP="00646375"/>
    <w:sectPr w:rsidR="00EF2620" w:rsidRPr="0064637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font-family-meta)">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D7D03"/>
    <w:multiLevelType w:val="multilevel"/>
    <w:tmpl w:val="5AFA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DE28D4"/>
    <w:multiLevelType w:val="multilevel"/>
    <w:tmpl w:val="23EC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101672">
    <w:abstractNumId w:val="0"/>
  </w:num>
  <w:num w:numId="2" w16cid:durableId="921067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E7C"/>
    <w:rsid w:val="005A144B"/>
    <w:rsid w:val="00646375"/>
    <w:rsid w:val="006F1C47"/>
    <w:rsid w:val="007A2E97"/>
    <w:rsid w:val="007F2C3C"/>
    <w:rsid w:val="00990EE0"/>
    <w:rsid w:val="00AD0176"/>
    <w:rsid w:val="00B4181F"/>
    <w:rsid w:val="00EF2620"/>
    <w:rsid w:val="00F45CD3"/>
    <w:rsid w:val="00FE3E7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106AA"/>
  <w15:chartTrackingRefBased/>
  <w15:docId w15:val="{33C1973E-CB5F-6949-BCC1-D141ED5FE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3E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E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E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E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E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3E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E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E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E7C"/>
    <w:rPr>
      <w:rFonts w:eastAsiaTheme="majorEastAsia" w:cstheme="majorBidi"/>
      <w:color w:val="272727" w:themeColor="text1" w:themeTint="D8"/>
    </w:rPr>
  </w:style>
  <w:style w:type="paragraph" w:styleId="Title">
    <w:name w:val="Title"/>
    <w:basedOn w:val="Normal"/>
    <w:next w:val="Normal"/>
    <w:link w:val="TitleChar"/>
    <w:uiPriority w:val="10"/>
    <w:qFormat/>
    <w:rsid w:val="00FE3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E7C"/>
    <w:pPr>
      <w:spacing w:before="160"/>
      <w:jc w:val="center"/>
    </w:pPr>
    <w:rPr>
      <w:i/>
      <w:iCs/>
      <w:color w:val="404040" w:themeColor="text1" w:themeTint="BF"/>
    </w:rPr>
  </w:style>
  <w:style w:type="character" w:customStyle="1" w:styleId="QuoteChar">
    <w:name w:val="Quote Char"/>
    <w:basedOn w:val="DefaultParagraphFont"/>
    <w:link w:val="Quote"/>
    <w:uiPriority w:val="29"/>
    <w:rsid w:val="00FE3E7C"/>
    <w:rPr>
      <w:i/>
      <w:iCs/>
      <w:color w:val="404040" w:themeColor="text1" w:themeTint="BF"/>
    </w:rPr>
  </w:style>
  <w:style w:type="paragraph" w:styleId="ListParagraph">
    <w:name w:val="List Paragraph"/>
    <w:basedOn w:val="Normal"/>
    <w:uiPriority w:val="34"/>
    <w:qFormat/>
    <w:rsid w:val="00FE3E7C"/>
    <w:pPr>
      <w:ind w:left="720"/>
      <w:contextualSpacing/>
    </w:pPr>
  </w:style>
  <w:style w:type="character" w:styleId="IntenseEmphasis">
    <w:name w:val="Intense Emphasis"/>
    <w:basedOn w:val="DefaultParagraphFont"/>
    <w:uiPriority w:val="21"/>
    <w:qFormat/>
    <w:rsid w:val="00FE3E7C"/>
    <w:rPr>
      <w:i/>
      <w:iCs/>
      <w:color w:val="0F4761" w:themeColor="accent1" w:themeShade="BF"/>
    </w:rPr>
  </w:style>
  <w:style w:type="paragraph" w:styleId="IntenseQuote">
    <w:name w:val="Intense Quote"/>
    <w:basedOn w:val="Normal"/>
    <w:next w:val="Normal"/>
    <w:link w:val="IntenseQuoteChar"/>
    <w:uiPriority w:val="30"/>
    <w:qFormat/>
    <w:rsid w:val="00FE3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E7C"/>
    <w:rPr>
      <w:i/>
      <w:iCs/>
      <w:color w:val="0F4761" w:themeColor="accent1" w:themeShade="BF"/>
    </w:rPr>
  </w:style>
  <w:style w:type="character" w:styleId="IntenseReference">
    <w:name w:val="Intense Reference"/>
    <w:basedOn w:val="DefaultParagraphFont"/>
    <w:uiPriority w:val="32"/>
    <w:qFormat/>
    <w:rsid w:val="00FE3E7C"/>
    <w:rPr>
      <w:b/>
      <w:bCs/>
      <w:smallCaps/>
      <w:color w:val="0F4761" w:themeColor="accent1" w:themeShade="BF"/>
      <w:spacing w:val="5"/>
    </w:rPr>
  </w:style>
  <w:style w:type="paragraph" w:customStyle="1" w:styleId="font-claude-response-body">
    <w:name w:val="font-claude-response-body"/>
    <w:basedOn w:val="Normal"/>
    <w:rsid w:val="00FE3E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E3E7C"/>
    <w:rPr>
      <w:b/>
      <w:bCs/>
    </w:rPr>
  </w:style>
  <w:style w:type="character" w:styleId="Emphasis">
    <w:name w:val="Emphasis"/>
    <w:basedOn w:val="DefaultParagraphFont"/>
    <w:uiPriority w:val="20"/>
    <w:qFormat/>
    <w:rsid w:val="00FE3E7C"/>
    <w:rPr>
      <w:i/>
      <w:iCs/>
    </w:rPr>
  </w:style>
  <w:style w:type="paragraph" w:customStyle="1" w:styleId="whitespace-normal">
    <w:name w:val="whitespace-normal"/>
    <w:basedOn w:val="Normal"/>
    <w:rsid w:val="00FE3E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46375"/>
    <w:rPr>
      <w:color w:val="0000FF"/>
      <w:u w:val="single"/>
    </w:rPr>
  </w:style>
  <w:style w:type="paragraph" w:styleId="NormalWeb">
    <w:name w:val="Normal (Web)"/>
    <w:basedOn w:val="Normal"/>
    <w:uiPriority w:val="99"/>
    <w:semiHidden/>
    <w:unhideWhenUsed/>
    <w:rsid w:val="0064637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463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bstackcdn.com/image/fetch/$s_!z4UY!,f_auto,q_auto:good,fl_progressive:steep/https%3A%2F%2Fsubstack-post-media.s3.amazonaws.com%2Fpublic%2Fimages%2F26423da6-684e-49c1-868e-89de953385bd_1709x1438.png"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bstackcdn.com/image/fetch/$s_!QtmW!,f_auto,q_auto:good,fl_progressive:steep/https%3A%2F%2Fsubstack-post-media.s3.amazonaws.com%2Fpublic%2Fimages%2F8ec37734-2972-4c74-a6be-cb6116dbc069_780x980.png" TargetMode="External"/><Relationship Id="rId11" Type="http://schemas.openxmlformats.org/officeDocument/2006/relationships/theme" Target="theme/theme1.xml"/><Relationship Id="rId5" Type="http://schemas.openxmlformats.org/officeDocument/2006/relationships/hyperlink" Target="https://substack.com/@hockeyroi"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1633</Words>
  <Characters>9314</Characters>
  <Application>Microsoft Office Word</Application>
  <DocSecurity>0</DocSecurity>
  <Lines>77</Lines>
  <Paragraphs>21</Paragraphs>
  <ScaleCrop>false</ScaleCrop>
  <Company/>
  <LinksUpToDate>false</LinksUpToDate>
  <CharactersWithSpaces>10926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Garg</dc:creator>
  <cp:keywords/>
  <dc:description/>
  <cp:lastModifiedBy>Ashish Garg</cp:lastModifiedBy>
  <cp:revision>2</cp:revision>
  <dcterms:created xsi:type="dcterms:W3CDTF">2026-04-17T22:40:00Z</dcterms:created>
  <dcterms:modified xsi:type="dcterms:W3CDTF">2026-04-20T14:57:00Z</dcterms:modified>
</cp:coreProperties>
</file>