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 5: How Tampa Found Charles-Edouard D'Astous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Substack Post 5 of 5 — HockeyROI</w:t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Charts: dastous_profile.png [after the defensive suppression numbers section]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What the NFI framework says about the D-man nobody was talking about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Opening</w:t>
      </w:r>
    </w:p>
    <w:p>
      <w:r>
        <w:rPr>
          <w:rFonts w:ascii="Arial" w:cs="Arial" w:eastAsia="Arial" w:hAnsi="Arial"/>
          <w:sz w:val="24"/>
          <w:szCs w:val="24"/>
        </w:rPr>
        <w:t xml:space="preserve">Tampa Bay Lightning have won two Stanley Cups and been to three finals in five years. They don't make roster mistakes. When they go get someone — especially a defenseman who spent time playing in Switzerland — they've done their homework.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Charles-Edouard D'Astous just signed back with Tampa after playing in the Swiss league. The analytics community barely noticed. The NFI framework noticed.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He Is</w:t>
      </w:r>
    </w:p>
    <w:p>
      <w:r>
        <w:rPr>
          <w:rFonts w:ascii="Arial" w:cs="Arial" w:eastAsia="Arial" w:hAnsi="Arial"/>
          <w:sz w:val="24"/>
          <w:szCs w:val="24"/>
        </w:rPr>
        <w:t xml:space="preserve">D'Astous is 26 years old. Left-shot defenseman. Bounced between the NHL and AHL, then spent time in Switzerland when NHL opportunities dried up. He has 749 ES minutes in the NHL over the five-season pool — a small sample by any standard. His name doesn't appear in mainstream analytics discussions.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 ranks #2 in two-way D score in the entire dataset across 347 qualifying defensemen.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the Data Shows</w:t>
      </w:r>
    </w:p>
    <w:p>
      <w:r>
        <w:rPr>
          <w:rFonts w:ascii="Arial" w:cs="Arial" w:eastAsia="Arial" w:hAnsi="Arial"/>
          <w:sz w:val="24"/>
          <w:szCs w:val="24"/>
        </w:rPr>
        <w:t xml:space="preserve">D'Astous's profile is asymmetric — his defensive numbers are the story.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Defensive suppression (P4): D'Astous ranks #1 among all 347 qualifying D in P4_weighted — centrality-adjusted CNFI shots against per 60. His CNFI shots-against rate of 5.608 per 60 has a Wilson 95% CI of [4.478, 6.986]. The league median is 8.483. His confidence interval sits entirely below the league median — statistically confirmed elite defensive signal even at 749 minutes.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TNFI shots against: 16.10 per 60, ranking 9th of 347. CI [14.27, 18.07] versus league median 19.41.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[INSERT: dastous_profile.png — D'Astous CNFI shots against vs league median with CI]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the Defensive Signal Is Trustworthy</w:t>
      </w:r>
    </w:p>
    <w:p>
      <w:r>
        <w:rPr>
          <w:rFonts w:ascii="Arial" w:cs="Arial" w:eastAsia="Arial" w:hAnsi="Arial"/>
          <w:sz w:val="24"/>
          <w:szCs w:val="24"/>
        </w:rPr>
        <w:t xml:space="preserve">The natural concern with any small-sample player is noise. But D'Astous's CNFI suppression isn't borderline — his CI sits entirely below the league median. That's a statistically clean signal at 749 minutes, not a noisy point estimate.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And the QoT analysis gives additional confidence. Defensive suppression metrics explain only 5.6% of their variance through teammate quality. Unlike offensive D metrics where half the signal is linemate-driven, what D'Astous is doing defensively in front of the net is mostly him — not his forwards, not his partner, not his system.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 ranks #1 at keeping opposing forwards out of the doorstep corridor. That's the most important thing a defenseman can do by the NFI framework.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Tampa Angle</w:t>
      </w:r>
    </w:p>
    <w:p>
      <w:r>
        <w:rPr>
          <w:rFonts w:ascii="Arial" w:cs="Arial" w:eastAsia="Arial" w:hAnsi="Arial"/>
          <w:sz w:val="24"/>
          <w:szCs w:val="24"/>
        </w:rPr>
        <w:t xml:space="preserve">The Lightning's analytics department is among the best in the league. They've built their dynasty on finding undervalued players — players who do specific things well that conventional metrics miss.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NFI framework independently surfaced D'Astous as #2 two-way D in the dataset. Tampa brought him back from Europe. Whether they're using similar methodology or different tools entirely, they arrived at the same conclusion: this player does something valuable that his surface stats don't fully capture.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That's the analytical thesis of HockeyROI in one acquisition: the market undervalues specific spatial behaviors that show up in the data if you know where to look.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Honest Caveats</w:t>
      </w:r>
    </w:p>
    <w:p>
      <w:r>
        <w:rPr>
          <w:rFonts w:ascii="Arial" w:cs="Arial" w:eastAsia="Arial" w:hAnsi="Arial"/>
          <w:sz w:val="24"/>
          <w:szCs w:val="24"/>
        </w:rPr>
        <w:t xml:space="preserve">749 ES minutes is a small sample. His offensive numbers are directional. FNFI shots-against being above median is not a red flag for a D (that's forward territory defensively) but his full profile isn't confirmed at this sample size.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What is confirmed: elite CNFI suppression with CI entirely below league median, above-average FNFI generation from the point (rank 24), solid blocking (rank 117). The two-way profile is real even if the magnitude needs more minutes to fully establish.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Tampa thinks he's worth a roster spot. The data says they're probably right.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All data from NFI/output/dastous_profile.csv. ES regulation, 5 seasons pooled.</w:t>
      </w:r>
    </w:p>
    <w:p>
      <w:r>
        <w:rPr>
          <w:rFonts w:ascii="Arial" w:cs="Arial" w:eastAsia="Arial" w:hAnsi="Arial"/>
          <w:sz w:val="24"/>
          <w:szCs w:val="24"/>
        </w:rPr>
        <w:t xml:space="preserve">Follow along at @HockeyROI on X and hockeyROI.substack.com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2026-04-23T17:52:26.928Z</dcterms:created>
  <dcterms:modified xsi:type="dcterms:W3CDTF">2026-04-23T17:52:26.928Z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