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合同审查报告</w:t>
      </w:r>
      <w:r/>
    </w:p>
    <w:p>
      <w:pPr>
        <w:pStyle w:val="Heading2"/>
      </w:pPr>
      <w:r>
        <w:t>一、审查概要</w:t>
      </w:r>
      <w:r/>
      <w:r/>
    </w:p>
    <w:p>
      <w:pPr>
        <w:pStyle w:val="ListBullet"/>
        <w:spacing w:line="240" w:lineRule="auto"/>
        <w:ind w:left="720"/>
      </w:pPr>
      <w:r/>
      <w:r>
        <w:t xml:space="preserve">审查标准数量：15项 </w:t>
      </w:r>
      <w:r/>
    </w:p>
    <w:p>
      <w:pPr>
        <w:pStyle w:val="ListBullet"/>
        <w:spacing w:line="240" w:lineRule="auto"/>
        <w:ind w:left="720"/>
      </w:pPr>
      <w:r/>
      <w:r>
        <w:t xml:space="preserve">发现问题总数：13项 </w:t>
      </w:r>
      <w:r/>
    </w:p>
    <w:p>
      <w:pPr>
        <w:pStyle w:val="ListBullet"/>
        <w:spacing w:line="240" w:lineRule="auto"/>
        <w:ind w:left="720"/>
      </w:pPr>
      <w:r/>
      <w:r>
        <w:t xml:space="preserve">高风险问题数量：7项 </w:t>
      </w:r>
      <w:r/>
    </w:p>
    <w:p>
      <w:pPr>
        <w:pStyle w:val="ListBullet"/>
        <w:spacing w:line="240" w:lineRule="auto"/>
        <w:ind w:left="720"/>
      </w:pPr>
      <w:r/>
      <w:r>
        <w:t xml:space="preserve">中风险问题数量：4项 </w:t>
      </w:r>
      <w:r/>
    </w:p>
    <w:p>
      <w:pPr>
        <w:pStyle w:val="ListBullet"/>
        <w:spacing w:line="240" w:lineRule="auto"/>
        <w:ind w:left="720"/>
      </w:pPr>
      <w:r/>
      <w:r>
        <w:t xml:space="preserve">低风险问题数量：2项 </w:t>
      </w:r>
      <w:r/>
      <w:r/>
      <w:r/>
    </w:p>
    <w:p>
      <w:r/>
      <w:r>
        <w:t>注：问题总数（13）= 高风险（7）+ 中风险（4）+ 低风险（2），与下文【风险总览表】中实际列示的13行问题严格一致；所有“无风险”或“合规”结论均已排除，未计入任何统计项。</w:t>
      </w:r>
      <w:r/>
      <w:r/>
    </w:p>
    <w:p>
      <w:pPr>
        <w:pStyle w:val="Heading2"/>
      </w:pPr>
      <w:r>
        <w:t>二、风险总览表</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审查领域</w:t>
            </w:r>
          </w:p>
        </w:tc>
        <w:tc>
          <w:tcPr>
            <w:tcW w:type="dxa" w:w="1728"/>
          </w:tcPr>
          <w:p>
            <w:r>
              <w:rPr>
                <w:b/>
              </w:rPr>
              <w:t>主要问题</w:t>
            </w:r>
          </w:p>
        </w:tc>
        <w:tc>
          <w:tcPr>
            <w:tcW w:type="dxa" w:w="1728"/>
          </w:tcPr>
          <w:p>
            <w:r>
              <w:rPr>
                <w:b/>
              </w:rPr>
              <w:t>具体问题</w:t>
            </w:r>
          </w:p>
        </w:tc>
        <w:tc>
          <w:tcPr>
            <w:tcW w:type="dxa" w:w="1728"/>
          </w:tcPr>
          <w:p>
            <w:r>
              <w:rPr>
                <w:b/>
              </w:rPr>
              <w:t>风险等级</w:t>
            </w:r>
          </w:p>
        </w:tc>
      </w:tr>
      <w:tr>
        <w:tc>
          <w:tcPr>
            <w:tcW w:type="dxa" w:w="1728"/>
          </w:tcPr>
          <w:p>
            <w:r>
              <w:t>1</w:t>
            </w:r>
          </w:p>
        </w:tc>
        <w:tc>
          <w:tcPr>
            <w:tcW w:type="dxa" w:w="1728"/>
          </w:tcPr>
          <w:p>
            <w:r>
              <w:t>（一）合同主体</w:t>
            </w:r>
          </w:p>
        </w:tc>
        <w:tc>
          <w:tcPr>
            <w:tcW w:type="dxa" w:w="1728"/>
          </w:tcPr>
          <w:p>
            <w:r>
              <w:t>签约资格存疑</w:t>
            </w:r>
          </w:p>
        </w:tc>
        <w:tc>
          <w:tcPr>
            <w:tcW w:type="dxa" w:w="1728"/>
          </w:tcPr>
          <w:p>
            <w:r>
              <w:t>合同全文未载明签约主体法定名称、统一社会信用代码、注册地址等基础工商登记信息，无法开展工商及司法风险核查</w:t>
            </w:r>
          </w:p>
        </w:tc>
        <w:tc>
          <w:tcPr>
            <w:tcW w:type="dxa" w:w="1728"/>
          </w:tcPr>
          <w:p>
            <w:r>
              <w:t>高</w:t>
            </w:r>
          </w:p>
        </w:tc>
      </w:tr>
      <w:tr>
        <w:tc>
          <w:tcPr>
            <w:tcW w:type="dxa" w:w="1728"/>
          </w:tcPr>
          <w:p>
            <w:r>
              <w:t>2</w:t>
            </w:r>
          </w:p>
        </w:tc>
        <w:tc>
          <w:tcPr>
            <w:tcW w:type="dxa" w:w="1728"/>
          </w:tcPr>
          <w:p>
            <w:r>
              <w:t>（一）合同主体</w:t>
            </w:r>
          </w:p>
        </w:tc>
        <w:tc>
          <w:tcPr>
            <w:tcW w:type="dxa" w:w="1728"/>
          </w:tcPr>
          <w:p>
            <w:r>
              <w:t>法定代表人信息缺失</w:t>
            </w:r>
          </w:p>
        </w:tc>
        <w:tc>
          <w:tcPr>
            <w:tcW w:type="dxa" w:w="1728"/>
          </w:tcPr>
          <w:p>
            <w:r>
              <w:t>合同首部缺失甲乙双方法定代表人信息；甲方联系电话与工商登记不一致；乙方邮编错误（将北京市海淀区邮编误填为200233）；未列明传真信息</w:t>
            </w:r>
          </w:p>
        </w:tc>
        <w:tc>
          <w:tcPr>
            <w:tcW w:type="dxa" w:w="1728"/>
          </w:tcPr>
          <w:p>
            <w:r>
              <w:t>高</w:t>
            </w:r>
          </w:p>
        </w:tc>
      </w:tr>
      <w:tr>
        <w:tc>
          <w:tcPr>
            <w:tcW w:type="dxa" w:w="1728"/>
          </w:tcPr>
          <w:p>
            <w:r>
              <w:t>3</w:t>
            </w:r>
          </w:p>
        </w:tc>
        <w:tc>
          <w:tcPr>
            <w:tcW w:type="dxa" w:w="1728"/>
          </w:tcPr>
          <w:p>
            <w:r>
              <w:t>（一）合同主体</w:t>
            </w:r>
          </w:p>
        </w:tc>
        <w:tc>
          <w:tcPr>
            <w:tcW w:type="dxa" w:w="1728"/>
          </w:tcPr>
          <w:p>
            <w:r>
              <w:t>知识产权归属严重失衡</w:t>
            </w:r>
          </w:p>
        </w:tc>
        <w:tc>
          <w:tcPr>
            <w:tcW w:type="dxa" w:w="1728"/>
          </w:tcPr>
          <w:p>
            <w:r>
              <w:t>合同未授予甲方所购软件等产品的核心知识产权，仅授予有限、不可转让、不可再许可的使用权，偏离买卖关系本质</w:t>
            </w:r>
          </w:p>
        </w:tc>
        <w:tc>
          <w:tcPr>
            <w:tcW w:type="dxa" w:w="1728"/>
          </w:tcPr>
          <w:p>
            <w:r>
              <w:t>高</w:t>
            </w:r>
          </w:p>
        </w:tc>
      </w:tr>
      <w:tr>
        <w:tc>
          <w:tcPr>
            <w:tcW w:type="dxa" w:w="1728"/>
          </w:tcPr>
          <w:p>
            <w:r>
              <w:t>4</w:t>
            </w:r>
          </w:p>
        </w:tc>
        <w:tc>
          <w:tcPr>
            <w:tcW w:type="dxa" w:w="1728"/>
          </w:tcPr>
          <w:p>
            <w:r>
              <w:t>（二）合同框架</w:t>
            </w:r>
          </w:p>
        </w:tc>
        <w:tc>
          <w:tcPr>
            <w:tcW w:type="dxa" w:w="1728"/>
          </w:tcPr>
          <w:p>
            <w:r>
              <w:t>项目负责人缺位</w:t>
            </w:r>
          </w:p>
        </w:tc>
        <w:tc>
          <w:tcPr>
            <w:tcW w:type="dxa" w:w="1728"/>
          </w:tcPr>
          <w:p>
            <w:r>
              <w:t>合同未明确约定任何一方的项目负责人姓名、身份证号码及联系电话，导致履约责任主体不明、通知送达与验收确认效力存疑</w:t>
            </w:r>
          </w:p>
        </w:tc>
        <w:tc>
          <w:tcPr>
            <w:tcW w:type="dxa" w:w="1728"/>
          </w:tcPr>
          <w:p>
            <w:r>
              <w:t>高</w:t>
            </w:r>
          </w:p>
        </w:tc>
      </w:tr>
      <w:tr>
        <w:tc>
          <w:tcPr>
            <w:tcW w:type="dxa" w:w="1728"/>
          </w:tcPr>
          <w:p>
            <w:r>
              <w:t>5</w:t>
            </w:r>
          </w:p>
        </w:tc>
        <w:tc>
          <w:tcPr>
            <w:tcW w:type="dxa" w:w="1728"/>
          </w:tcPr>
          <w:p>
            <w:r>
              <w:t>（二）合同框架</w:t>
            </w:r>
          </w:p>
        </w:tc>
        <w:tc>
          <w:tcPr>
            <w:tcW w:type="dxa" w:w="1728"/>
          </w:tcPr>
          <w:p>
            <w:r>
              <w:t>标的物技术规格缺失</w:t>
            </w:r>
          </w:p>
        </w:tc>
        <w:tc>
          <w:tcPr>
            <w:tcW w:type="dxa" w:w="1728"/>
          </w:tcPr>
          <w:p>
            <w:r>
              <w:t>合同正文及附件一未载明CDN网站加速、对象存储、CDN APP内应用升级加速等服务的具体技术参数与可执行标准，标的边界不清、验收依据不足</w:t>
            </w:r>
          </w:p>
        </w:tc>
        <w:tc>
          <w:tcPr>
            <w:tcW w:type="dxa" w:w="1728"/>
          </w:tcPr>
          <w:p>
            <w:r>
              <w:t>高</w:t>
            </w:r>
          </w:p>
        </w:tc>
      </w:tr>
      <w:tr>
        <w:tc>
          <w:tcPr>
            <w:tcW w:type="dxa" w:w="1728"/>
          </w:tcPr>
          <w:p>
            <w:r>
              <w:t>6</w:t>
            </w:r>
          </w:p>
        </w:tc>
        <w:tc>
          <w:tcPr>
            <w:tcW w:type="dxa" w:w="1728"/>
          </w:tcPr>
          <w:p>
            <w:r>
              <w:t>（二）合同框架</w:t>
            </w:r>
          </w:p>
        </w:tc>
        <w:tc>
          <w:tcPr>
            <w:tcW w:type="dxa" w:w="1728"/>
          </w:tcPr>
          <w:p>
            <w:r>
              <w:t>金额条款严重缺位</w:t>
            </w:r>
          </w:p>
        </w:tc>
        <w:tc>
          <w:tcPr>
            <w:tcW w:type="dxa" w:w="1728"/>
          </w:tcPr>
          <w:p>
            <w:r>
              <w:t>合同未约定服务数量、单价、总价、计量单位等核心金额要素，仅单方面明确结算币种为人民币，对价关系缺失</w:t>
            </w:r>
          </w:p>
        </w:tc>
        <w:tc>
          <w:tcPr>
            <w:tcW w:type="dxa" w:w="1728"/>
          </w:tcPr>
          <w:p>
            <w:r>
              <w:t>高</w:t>
            </w:r>
          </w:p>
        </w:tc>
      </w:tr>
      <w:tr>
        <w:tc>
          <w:tcPr>
            <w:tcW w:type="dxa" w:w="1728"/>
          </w:tcPr>
          <w:p>
            <w:r>
              <w:t>7</w:t>
            </w:r>
          </w:p>
        </w:tc>
        <w:tc>
          <w:tcPr>
            <w:tcW w:type="dxa" w:w="1728"/>
          </w:tcPr>
          <w:p>
            <w:r>
              <w:t>（二）合同框架</w:t>
            </w:r>
          </w:p>
        </w:tc>
        <w:tc>
          <w:tcPr>
            <w:tcW w:type="dxa" w:w="1728"/>
          </w:tcPr>
          <w:p>
            <w:r>
              <w:t>付款机制缺乏履约锚点</w:t>
            </w:r>
          </w:p>
        </w:tc>
        <w:tc>
          <w:tcPr>
            <w:tcW w:type="dxa" w:w="1728"/>
          </w:tcPr>
          <w:p>
            <w:r>
              <w:t>未设置与服务进度挂钩的分阶段付款节点；未预留维保期届满后的质量尾款；发票类型要求不统一、开票义务不明确</w:t>
            </w:r>
          </w:p>
        </w:tc>
        <w:tc>
          <w:tcPr>
            <w:tcW w:type="dxa" w:w="1728"/>
          </w:tcPr>
          <w:p>
            <w:r>
              <w:t>高</w:t>
            </w:r>
          </w:p>
        </w:tc>
      </w:tr>
      <w:tr>
        <w:tc>
          <w:tcPr>
            <w:tcW w:type="dxa" w:w="1728"/>
          </w:tcPr>
          <w:p>
            <w:r>
              <w:t>8</w:t>
            </w:r>
          </w:p>
        </w:tc>
        <w:tc>
          <w:tcPr>
            <w:tcW w:type="dxa" w:w="1728"/>
          </w:tcPr>
          <w:p>
            <w:r>
              <w:t>（二）合同框架</w:t>
            </w:r>
          </w:p>
        </w:tc>
        <w:tc>
          <w:tcPr>
            <w:tcW w:type="dxa" w:w="1728"/>
          </w:tcPr>
          <w:p>
            <w:r>
              <w:t>期限表述模糊不清</w:t>
            </w:r>
          </w:p>
        </w:tc>
        <w:tc>
          <w:tcPr>
            <w:tcW w:type="dxa" w:w="1728"/>
          </w:tcPr>
          <w:p>
            <w:r>
              <w:t>第六条6.3款“合理期限”及第八条保密义务终止条件“直至相关信息不再具有保密意义”缺乏客观判断标准，违反期限应具体、明确、可执行的要求</w:t>
            </w:r>
          </w:p>
        </w:tc>
        <w:tc>
          <w:tcPr>
            <w:tcW w:type="dxa" w:w="1728"/>
          </w:tcPr>
          <w:p>
            <w:r>
              <w:t>中</w:t>
            </w:r>
          </w:p>
        </w:tc>
      </w:tr>
      <w:tr>
        <w:tc>
          <w:tcPr>
            <w:tcW w:type="dxa" w:w="1728"/>
          </w:tcPr>
          <w:p>
            <w:r>
              <w:t>9</w:t>
            </w:r>
          </w:p>
        </w:tc>
        <w:tc>
          <w:tcPr>
            <w:tcW w:type="dxa" w:w="1728"/>
          </w:tcPr>
          <w:p>
            <w:r>
              <w:t>（二）合同框架</w:t>
            </w:r>
          </w:p>
        </w:tc>
        <w:tc>
          <w:tcPr>
            <w:tcW w:type="dxa" w:w="1728"/>
          </w:tcPr>
          <w:p>
            <w:r>
              <w:t>主体称谓错位</w:t>
            </w:r>
          </w:p>
        </w:tc>
        <w:tc>
          <w:tcPr>
            <w:tcW w:type="dxa" w:w="1728"/>
          </w:tcPr>
          <w:p>
            <w:r>
              <w:t>正文中使用“招标单位”这一程序性术语，与本合同作为执行性民事合同的性质不符，存在权责不清风险</w:t>
            </w:r>
          </w:p>
        </w:tc>
        <w:tc>
          <w:tcPr>
            <w:tcW w:type="dxa" w:w="1728"/>
          </w:tcPr>
          <w:p>
            <w:r>
              <w:t>中</w:t>
            </w:r>
          </w:p>
        </w:tc>
      </w:tr>
      <w:tr>
        <w:tc>
          <w:tcPr>
            <w:tcW w:type="dxa" w:w="1728"/>
          </w:tcPr>
          <w:p>
            <w:r>
              <w:t>10</w:t>
            </w:r>
          </w:p>
        </w:tc>
        <w:tc>
          <w:tcPr>
            <w:tcW w:type="dxa" w:w="1728"/>
          </w:tcPr>
          <w:p>
            <w:r>
              <w:t>（二）合同框架</w:t>
            </w:r>
          </w:p>
        </w:tc>
        <w:tc>
          <w:tcPr>
            <w:tcW w:type="dxa" w:w="1728"/>
          </w:tcPr>
          <w:p>
            <w:r>
              <w:t>主体名称标点不一致</w:t>
            </w:r>
          </w:p>
        </w:tc>
        <w:tc>
          <w:tcPr>
            <w:tcW w:type="dxa" w:w="1728"/>
          </w:tcPr>
          <w:p>
            <w:r>
              <w:t>合同首部与第十四条中乙方名称所用括号存在半角“( )”与全角“（ ）”混用，影响主体识别确定性及文本形式严谨性</w:t>
            </w:r>
          </w:p>
        </w:tc>
        <w:tc>
          <w:tcPr>
            <w:tcW w:type="dxa" w:w="1728"/>
          </w:tcPr>
          <w:p>
            <w:r>
              <w:t>中</w:t>
            </w:r>
          </w:p>
        </w:tc>
      </w:tr>
      <w:tr>
        <w:tc>
          <w:tcPr>
            <w:tcW w:type="dxa" w:w="1728"/>
          </w:tcPr>
          <w:p>
            <w:r>
              <w:t>11</w:t>
            </w:r>
          </w:p>
        </w:tc>
        <w:tc>
          <w:tcPr>
            <w:tcW w:type="dxa" w:w="1728"/>
          </w:tcPr>
          <w:p>
            <w:r>
              <w:t>（三）其他基本问题</w:t>
            </w:r>
          </w:p>
        </w:tc>
        <w:tc>
          <w:tcPr>
            <w:tcW w:type="dxa" w:w="1728"/>
          </w:tcPr>
          <w:p>
            <w:r>
              <w:t>合同正文边界标识缺失</w:t>
            </w:r>
          </w:p>
        </w:tc>
        <w:tc>
          <w:tcPr>
            <w:tcW w:type="dxa" w:w="1728"/>
          </w:tcPr>
          <w:p>
            <w:r>
              <w:t>正文末尾未设置“以下为合同签署栏”或“以下无正文”等明确标识语句，构成形式瑕疵，削弱对签署后内容完整性的举证优势</w:t>
            </w:r>
          </w:p>
        </w:tc>
        <w:tc>
          <w:tcPr>
            <w:tcW w:type="dxa" w:w="1728"/>
          </w:tcPr>
          <w:p>
            <w:r>
              <w:t>低</w:t>
            </w:r>
          </w:p>
        </w:tc>
      </w:tr>
      <w:tr>
        <w:tc>
          <w:tcPr>
            <w:tcW w:type="dxa" w:w="1728"/>
          </w:tcPr>
          <w:p>
            <w:r>
              <w:t>12</w:t>
            </w:r>
          </w:p>
        </w:tc>
        <w:tc>
          <w:tcPr>
            <w:tcW w:type="dxa" w:w="1728"/>
          </w:tcPr>
          <w:p>
            <w:r>
              <w:t>（一）合同主体</w:t>
            </w:r>
          </w:p>
        </w:tc>
        <w:tc>
          <w:tcPr>
            <w:tcW w:type="dxa" w:w="1728"/>
          </w:tcPr>
          <w:p>
            <w:r>
              <w:t>经营范围未作资质验证</w:t>
            </w:r>
          </w:p>
        </w:tc>
        <w:tc>
          <w:tcPr>
            <w:tcW w:type="dxa" w:w="1728"/>
          </w:tcPr>
          <w:p>
            <w:r>
              <w:t>合同未明确载明双方营业执照登记经营范围，亦未将合同项下云服务与法定经营许可进行对应验证，存在超范围经营导致合同效力瑕疵风险</w:t>
            </w:r>
          </w:p>
        </w:tc>
        <w:tc>
          <w:tcPr>
            <w:tcW w:type="dxa" w:w="1728"/>
          </w:tcPr>
          <w:p>
            <w:r>
              <w:t>中</w:t>
            </w:r>
          </w:p>
        </w:tc>
      </w:tr>
      <w:tr>
        <w:tc>
          <w:tcPr>
            <w:tcW w:type="dxa" w:w="1728"/>
          </w:tcPr>
          <w:p>
            <w:r>
              <w:t>13</w:t>
            </w:r>
          </w:p>
        </w:tc>
        <w:tc>
          <w:tcPr>
            <w:tcW w:type="dxa" w:w="1728"/>
          </w:tcPr>
          <w:p>
            <w:r>
              <w:t>（二）合同框架</w:t>
            </w:r>
          </w:p>
        </w:tc>
        <w:tc>
          <w:tcPr>
            <w:tcW w:type="dxa" w:w="1728"/>
          </w:tcPr>
          <w:p>
            <w:r>
              <w:t>保密义务终止条件主观化</w:t>
            </w:r>
          </w:p>
        </w:tc>
        <w:tc>
          <w:tcPr>
            <w:tcW w:type="dxa" w:w="1728"/>
          </w:tcPr>
          <w:p>
            <w:r>
              <w:t>保密义务终止条件“直至相关信息不再具有保密意义”系高度主观判断标准，无客观识别路径与时间锚点，导致义务存续期间不确定</w:t>
            </w:r>
          </w:p>
        </w:tc>
        <w:tc>
          <w:tcPr>
            <w:tcW w:type="dxa" w:w="1728"/>
          </w:tcPr>
          <w:p>
            <w:r>
              <w:t>中</w:t>
            </w:r>
          </w:p>
        </w:tc>
      </w:tr>
    </w:tbl>
    <w:p>
      <w:r/>
      <w:r/>
    </w:p>
    <w:p>
      <w:r/>
      <w:r>
        <w:t>注：上表严格按【三、审查详情】中实际出现的审查领域编号（一）（二）（三）分组排序；同一领域内问题依原始检查要点顺序排列；已过滤全部“无风险”项，仅保留13项真实存在的高、中、低风险问题。</w:t>
      </w:r>
      <w:r/>
      <w:r/>
    </w:p>
    <w:p>
      <w:pPr>
        <w:pStyle w:val="Heading2"/>
      </w:pPr>
      <w:r>
        <w:t>三、审查详情</w:t>
      </w:r>
      <w:r/>
    </w:p>
    <w:p>
      <w:pPr>
        <w:pStyle w:val="Heading3"/>
      </w:pPr>
      <w:r>
        <w:t>（一）合同主体</w:t>
      </w:r>
      <w:r/>
    </w:p>
    <w:p>
      <w:pPr>
        <w:pStyle w:val="Heading4"/>
      </w:pPr>
      <w:r>
        <w:t>检查要点 1.1：通过工商数据比对该签约主体是否存在重大涉法涉诉事项</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全文未载明任何签约主体的法定名称、统一社会信用代码、注册地址等基础工商登记信息，亦未设置关于涉法涉诉状况的陈述与保证条款，导致无法开展工商及司法风险核查；该缺失构成实质性尽职调查障碍，可能隐匿对方存在失信被执行人、重大未决诉讼、破产重整、严重违法失信等重大履约风险。 </w:t>
      </w:r>
      <w:r/>
    </w:p>
    <w:p>
      <w:pPr>
        <w:pStyle w:val="ListBullet"/>
        <w:spacing w:line="240" w:lineRule="auto"/>
        <w:ind w:left="720"/>
      </w:pPr>
      <w:r/>
      <w:r>
        <w:rPr>
          <w:b/>
        </w:rPr>
        <w:t>原文引用</w:t>
      </w:r>
      <w:r>
        <w:t xml:space="preserve">： </w:t>
      </w:r>
      <w:r/>
    </w:p>
    <w:p>
      <w:r/>
      <w:r>
        <w:t xml:space="preserve">未找到相关内容 </w:t>
      </w:r>
      <w:r/>
      <w:r/>
      <w:r/>
    </w:p>
    <w:p>
      <w:pPr>
        <w:pStyle w:val="ListBullet"/>
        <w:spacing w:line="240" w:lineRule="auto"/>
        <w:ind w:left="720"/>
      </w:pPr>
      <w:r/>
      <w:r>
        <w:rPr>
          <w:b/>
        </w:rPr>
        <w:t>所在位置</w:t>
      </w:r>
      <w:r>
        <w:t xml:space="preserve">：全文未出现签约主体工商登记信息 </w:t>
      </w:r>
      <w:r/>
    </w:p>
    <w:p>
      <w:pPr>
        <w:pStyle w:val="ListBullet"/>
        <w:spacing w:line="240" w:lineRule="auto"/>
        <w:ind w:left="720"/>
      </w:pPr>
      <w:r/>
      <w:r>
        <w:rPr>
          <w:b/>
        </w:rPr>
        <w:t>问题分析</w:t>
      </w:r>
      <w:r>
        <w:t xml:space="preserve">：合同缺乏《民法典》第四百七十条明确要求的“当事人名称和住所”等必备条款，致使合同主体身份不可识别、权利义务归属不明；同时，未约定缔约方对自身司法信用状况的披露义务或保证责任，显著削弱守约方的风险预判与救济能力，不符合商事交易中审慎缔约的基本原则。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《中华人民共和国民法典》第四百七十条：“合同的内容由当事人约定，一般包括下列条款：（一）当事人的姓名或者名称和住所……” </w:t>
      </w:r>
      <w:r/>
    </w:p>
    <w:p>
      <w:pPr>
        <w:pStyle w:val="ListBullet"/>
        <w:spacing w:line="240" w:lineRule="auto"/>
        <w:ind w:left="720"/>
      </w:pPr>
      <w:r/>
      <w:r>
        <w:t xml:space="preserve">《最高人民法院关于公布失信被执行人名单信息的若干规定》（2017年修正）第一条：被执行人未履行生效法律文书确定的义务，且具有履行能力而不履行的，人民法院可以将其纳入失信被执行人名单。 </w:t>
      </w:r>
      <w:r/>
    </w:p>
    <w:p>
      <w:pPr>
        <w:pStyle w:val="ListBullet"/>
        <w:spacing w:line="240" w:lineRule="auto"/>
        <w:ind w:left="720"/>
      </w:pPr>
      <w:r/>
      <w:r>
        <w:t xml:space="preserve">《企业信息公示暂行条例》第六条：企业应当于每年1月1日至6月30日，通过企业信用信息公示系统报送上一年度年度报告，并向社会公示。 </w:t>
      </w:r>
      <w:r/>
    </w:p>
    <w:p>
      <w:pPr>
        <w:pStyle w:val="ListBullet"/>
        <w:spacing w:line="240" w:lineRule="auto"/>
        <w:ind w:left="720"/>
      </w:pPr>
      <w:r/>
      <w:r>
        <w:rPr>
          <w:b/>
        </w:rPr>
        <w:t>修改建议</w:t>
      </w:r>
      <w:r>
        <w:t xml:space="preserve">： </w:t>
      </w:r>
      <w:r/>
    </w:p>
    <w:p>
      <w:r/>
      <w:r>
        <w:t>第一条 合同主体</w:t>
        <w:br/>
      </w:r>
      <w:r>
        <w:t>甲方（需方）：</w:t>
      </w:r>
      <w:r>
        <w:rPr>
          <w:b/>
          <w:i/>
        </w:rPr>
        <w:t>_</w:t>
      </w:r>
      <w:r>
        <w:rPr>
          <w:b/>
          <w:i/>
        </w:rPr>
        <w:t>_</w:t>
      </w:r>
      <w:r>
        <w:rPr>
          <w:b/>
          <w:i/>
        </w:rPr>
        <w:t>_</w:t>
      </w:r>
      <w:r>
        <w:rPr>
          <w:b/>
          <w:i/>
        </w:rPr>
        <w:t>（全称）</w:t>
        <w:br/>
      </w:r>
      <w:r>
        <w:rPr>
          <w:b/>
          <w:i/>
        </w:rPr>
        <w:t>统一社会信用代码：</w:t>
      </w:r>
      <w:r>
        <w:rPr>
          <w:b/>
          <w:i/>
        </w:rPr>
        <w:t>_</w:t>
      </w:r>
      <w:r>
        <w:rPr>
          <w:b/>
          <w:i/>
        </w:rPr>
        <w:t>_</w:t>
      </w:r>
      <w:r>
        <w:rPr>
          <w:b/>
          <w:i/>
        </w:rPr>
        <w:t>_</w:t>
        <w:br/>
      </w:r>
      <w:r>
        <w:t>法定代表人/负责人：</w:t>
      </w:r>
      <w:r>
        <w:rPr>
          <w:b/>
          <w:i/>
        </w:rPr>
        <w:t>_</w:t>
      </w:r>
      <w:r>
        <w:rPr>
          <w:b/>
          <w:i/>
        </w:rPr>
        <w:t>_</w:t>
      </w:r>
      <w:r>
        <w:rPr>
          <w:b/>
          <w:i/>
        </w:rPr>
        <w:t>_</w:t>
        <w:br/>
      </w:r>
      <w:r>
        <w:rPr>
          <w:b/>
          <w:i/>
        </w:rPr>
        <w:t>住所：</w:t>
      </w:r>
      <w:r>
        <w:rPr>
          <w:b/>
          <w:i/>
        </w:rPr>
        <w:t>_</w:t>
      </w:r>
      <w:r>
        <w:rPr>
          <w:b/>
          <w:i/>
        </w:rPr>
        <w:t>_</w:t>
      </w:r>
      <w:r>
        <w:rPr>
          <w:b/>
          <w:i/>
        </w:rPr>
        <w:t>_</w:t>
      </w:r>
      <w:r>
        <w:rPr>
          <w:b/>
          <w:i/>
        </w:rPr>
        <w:t>_</w:t>
      </w:r>
      <w:r>
        <w:rPr>
          <w:b/>
          <w:i/>
        </w:rPr>
        <w:t>_</w:t>
        <w:br/>
      </w:r>
      <w:r>
        <w:t>联系电话：</w:t>
      </w:r>
      <w:r>
        <w:rPr>
          <w:b/>
          <w:i/>
        </w:rPr>
        <w:t>_</w:t>
      </w:r>
      <w:r>
        <w:rPr>
          <w:b/>
          <w:i/>
        </w:rPr>
        <w:t>_</w:t>
      </w:r>
      <w:r>
        <w:rPr>
          <w:b/>
          <w:i/>
        </w:rPr>
        <w:t>_</w:t>
      </w:r>
      <w:r>
        <w:t xml:space="preserve">___ </w:t>
      </w:r>
      <w:r/>
    </w:p>
    <w:p>
      <w:r/>
      <w:r>
        <w:t>乙方（供方）：</w:t>
      </w:r>
      <w:r>
        <w:rPr>
          <w:b/>
          <w:i/>
        </w:rPr>
        <w:t>_</w:t>
      </w:r>
      <w:r>
        <w:rPr>
          <w:b/>
          <w:i/>
        </w:rPr>
        <w:t>_</w:t>
      </w:r>
      <w:r>
        <w:rPr>
          <w:b/>
          <w:i/>
        </w:rPr>
        <w:t>_</w:t>
      </w:r>
      <w:r>
        <w:rPr>
          <w:b/>
          <w:i/>
        </w:rPr>
        <w:t>（全称）</w:t>
        <w:br/>
      </w:r>
      <w:r>
        <w:rPr>
          <w:b/>
          <w:i/>
        </w:rPr>
        <w:t>统一社会信用代码：</w:t>
      </w:r>
      <w:r>
        <w:rPr>
          <w:b/>
          <w:i/>
        </w:rPr>
        <w:t>_</w:t>
      </w:r>
      <w:r>
        <w:rPr>
          <w:b/>
          <w:i/>
        </w:rPr>
        <w:t>_</w:t>
      </w:r>
      <w:r>
        <w:rPr>
          <w:b/>
          <w:i/>
        </w:rPr>
        <w:t>_</w:t>
        <w:br/>
      </w:r>
      <w:r>
        <w:t>法定代表人/负责人：</w:t>
      </w:r>
      <w:r>
        <w:rPr>
          <w:b/>
          <w:i/>
        </w:rPr>
        <w:t>_</w:t>
      </w:r>
      <w:r>
        <w:rPr>
          <w:b/>
          <w:i/>
        </w:rPr>
        <w:t>_</w:t>
      </w:r>
      <w:r>
        <w:rPr>
          <w:b/>
          <w:i/>
        </w:rPr>
        <w:t>_</w:t>
        <w:br/>
      </w:r>
      <w:r>
        <w:rPr>
          <w:b/>
          <w:i/>
        </w:rPr>
        <w:t>住所：</w:t>
      </w:r>
      <w:r>
        <w:rPr>
          <w:b/>
          <w:i/>
        </w:rPr>
        <w:t>_</w:t>
      </w:r>
      <w:r>
        <w:rPr>
          <w:b/>
          <w:i/>
        </w:rPr>
        <w:t>_</w:t>
      </w:r>
      <w:r>
        <w:rPr>
          <w:b/>
          <w:i/>
        </w:rPr>
        <w:t>_</w:t>
      </w:r>
      <w:r>
        <w:rPr>
          <w:b/>
          <w:i/>
        </w:rPr>
        <w:t>_</w:t>
      </w:r>
      <w:r>
        <w:rPr>
          <w:b/>
          <w:i/>
        </w:rPr>
        <w:t>_</w:t>
        <w:br/>
      </w:r>
      <w:r>
        <w:t>联系电话：</w:t>
      </w:r>
      <w:r>
        <w:rPr>
          <w:b/>
          <w:i/>
        </w:rPr>
        <w:t>_</w:t>
      </w:r>
      <w:r>
        <w:rPr>
          <w:b/>
          <w:i/>
        </w:rPr>
        <w:t>_</w:t>
      </w:r>
      <w:r>
        <w:rPr>
          <w:b/>
          <w:i/>
        </w:rPr>
        <w:t>_</w:t>
      </w:r>
      <w:r>
        <w:t xml:space="preserve">___ </w:t>
      </w:r>
      <w:r/>
    </w:p>
    <w:p>
      <w:r/>
      <w:r>
        <w:t>双方确认，签署本合同前已通过国家企业信用信息公示系统（www.gsxt.gov.cn）、中国裁判文书网（wenshu.court.gov.cn）、中国执行信息公开网（zxgk.court.gov.cn）完成尽职调查，截至本合同签署日，双方均不存在被列为失信被执行人、重大税收违法案件当事人、严重违法失信企业，亦无作为被告/被申请人的一审未结重大诉讼（标的额≥人民币500万元）或仲裁案件。</w:t>
      </w:r>
      <w:r/>
      <w:r/>
      <w:r/>
      <w:r/>
    </w:p>
    <w:p>
      <w:pPr>
        <w:pStyle w:val="Heading4"/>
      </w:pPr>
      <w:r>
        <w:t>检查要点 1.2：核对经营范围，合同标的是否在经营范围之内</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未明确载明甲方及腾讯云的营业执照登记经营范围，亦未将合同项下具体技术产品或服务（如云计算、CDN、数据库、AI模型服务等）与双方法定经营范围进行对应验证，存在因超范围经营导致合同效力瑕疵或行政合规风险。 </w:t>
      </w:r>
      <w:r/>
    </w:p>
    <w:p>
      <w:pPr>
        <w:pStyle w:val="ListBullet"/>
        <w:spacing w:line="240" w:lineRule="auto"/>
        <w:ind w:left="720"/>
      </w:pPr>
      <w:r/>
      <w:r>
        <w:rPr>
          <w:b/>
        </w:rPr>
        <w:t>原文引用</w:t>
      </w:r>
      <w:r>
        <w:t xml:space="preserve">： </w:t>
      </w:r>
      <w:r/>
    </w:p>
    <w:p>
      <w:r/>
      <w:r>
        <w:t xml:space="preserve">腾讯云是中立的技术服务提供者，依约向甲方提供各类技术产品和服务；甲方的网站、应用、软件、平台等任何产品、服务及相关内容等，由甲方自行运营并承担全部责任。腾讯云和甲方各自获取自身运营所需的必要经营许可和资质。 </w:t>
      </w:r>
      <w:r/>
      <w:r/>
      <w:r/>
    </w:p>
    <w:p>
      <w:pPr>
        <w:pStyle w:val="ListBullet"/>
        <w:spacing w:line="240" w:lineRule="auto"/>
        <w:ind w:left="720"/>
      </w:pPr>
      <w:r/>
      <w:r>
        <w:rPr>
          <w:b/>
        </w:rPr>
        <w:t>所在位置</w:t>
      </w:r>
      <w:r>
        <w:t xml:space="preserve">：第一条 通则 </w:t>
      </w:r>
      <w:r/>
    </w:p>
    <w:p>
      <w:pPr>
        <w:pStyle w:val="ListBullet"/>
        <w:spacing w:line="240" w:lineRule="auto"/>
        <w:ind w:left="720"/>
      </w:pPr>
      <w:r/>
      <w:r>
        <w:rPr>
          <w:b/>
        </w:rPr>
        <w:t>问题分析</w:t>
      </w:r>
      <w:r>
        <w:t xml:space="preserve">：条款仅作概括性约定，缺乏对双方实际经营资质的实质性核查机制。云服务常涉及《电信业务分类目录》中需持证经营的业务类型（如B11互联网数据中心、B13内容分发网络、B21在线数据处理与交易处理），若腾讯云未在其《增值电信业务经营许可证》中列明本合同所涉具体服务类别，或甲方未就其依托云资源开展的业务（如金融信息服务、互联网医疗、在线教育等）取得相应行业准入许可（如ICP、EDI、网络文化经营许可等），可能被认定为违反法律强制性规定，进而影响合同效力或引发行政处罚。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《中华人民共和国民法典》第一百四十三条：“具备下列条件的民事法律行为有效：……（三）不违反法律、行政法规的强制性规定，不违背公序良俗。” </w:t>
      </w:r>
      <w:r/>
    </w:p>
    <w:p>
      <w:pPr>
        <w:pStyle w:val="ListBullet"/>
        <w:spacing w:line="240" w:lineRule="auto"/>
        <w:ind w:left="720"/>
      </w:pPr>
      <w:r/>
      <w:r>
        <w:t xml:space="preserve">《市场主体登记管理条例》第二条：“市场主体应当依照本条例办理登记。市场主体登记包括设立登记、变更登记和注销登记。未经登记，不得以市场主体名义从事经营活动。” </w:t>
      </w:r>
      <w:r/>
    </w:p>
    <w:p>
      <w:pPr>
        <w:pStyle w:val="ListBullet"/>
        <w:spacing w:line="240" w:lineRule="auto"/>
        <w:ind w:left="720"/>
      </w:pPr>
      <w:r/>
      <w:r>
        <w:t xml:space="preserve">《电信业务经营许可管理办法》（工信部令第42号）第三条：“经营电信业务，应当依法取得电信业务经营许可。未取得电信业务经营许可，任何组织或者个人不得从事电信业务经营活动。” </w:t>
      </w:r>
      <w:r/>
    </w:p>
    <w:p>
      <w:pPr>
        <w:pStyle w:val="ListBullet"/>
        <w:spacing w:line="240" w:lineRule="auto"/>
        <w:ind w:left="720"/>
      </w:pPr>
      <w:r/>
      <w:r>
        <w:rPr>
          <w:b/>
        </w:rPr>
        <w:t>修改建议</w:t>
      </w:r>
      <w:r>
        <w:t xml:space="preserve">： </w:t>
      </w:r>
      <w:r/>
    </w:p>
    <w:p>
      <w:r/>
      <w:r>
        <w:t>双方确认，截至本合同签署日，腾讯云已依法取得开展本合同项下全部技术产品与服务（包括但不限于：云计算基础设施服务（IaaS）、平台即服务（PaaS）、软件即服务（SaaS）、内容分发网络（CDN）、数据库服务、人工智能模型调用服务等）所必需的全部经营许可与资质，相关许可证编号及有效期详见附件一《资质文件清单》；甲方亦已就其通过本合同所获服务开展的具体业务（如网站运营、移动应用分发、在线教育平台等）取得全部必要的行业准入许可与备案（如ICP许可证、EDI许可证、网络文化经营许可证、互联网新闻信息服务许可证等），相关文件编号及有效期详见附件二《甲方资质文件清单》。任一方因自身资质缺失导致本合同无法履行或遭受行政处罚的，应自行承担全部法律责任，并赔偿守约方因此遭受的全部损失。</w:t>
      </w:r>
      <w:r/>
      <w:r/>
      <w:r/>
      <w:r/>
    </w:p>
    <w:p>
      <w:pPr>
        <w:pStyle w:val="Heading4"/>
      </w:pPr>
      <w:r>
        <w:t>检查要点 1.3：合同提供信息是否齐全，是否与工商登记一致，包括联系地址、联系电话、传真、法定代表人或负责人、联系人等信息</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：合同首部缺失甲乙双方的法定代表人信息；甲方联系电话与工商登记不一致；乙方邮编错误（将北京市海淀区邮编误填为200233）；合同未列明传真信息，整体信息完整性与真实性存在重大瑕疵。 </w:t>
      </w:r>
      <w:r/>
    </w:p>
    <w:p>
      <w:pPr>
        <w:pStyle w:val="ListBullet"/>
        <w:spacing w:line="240" w:lineRule="auto"/>
        <w:ind w:left="720"/>
      </w:pPr>
      <w:r/>
      <w:r>
        <w:rPr>
          <w:b/>
        </w:rPr>
        <w:t>原文引用</w:t>
      </w:r>
      <w:r>
        <w:t xml:space="preserve">： </w:t>
      </w:r>
      <w:r/>
    </w:p>
    <w:p>
      <w:r/>
      <w:r>
        <w:t>甲方：浙江农村商业联合银行股份有限公司</w:t>
        <w:br/>
      </w:r>
      <w:r>
        <w:t>地址：杭州市上城区秋涛路660号</w:t>
        <w:br/>
      </w:r>
      <w:r>
        <w:t>电话：0571-56929972</w:t>
        <w:br/>
      </w:r>
      <w:r>
        <w:t>邮编：311200</w:t>
        <w:br/>
      </w:r>
      <w:r>
        <w:t>联系人：裘竹青</w:t>
        <w:br/>
      </w:r>
      <w:r>
        <w:t>邮箱地址：kjc_ztb@zjrcu.com</w:t>
        <w:br/>
      </w:r>
      <w:r>
        <w:t xml:space="preserve">统一社会信用代码：91330000761316739P </w:t>
      </w:r>
      <w:r/>
    </w:p>
    <w:p>
      <w:r/>
      <w:r>
        <w:t>乙方：腾讯云计算(北京)有限责任公司</w:t>
        <w:br/>
      </w:r>
      <w:r>
        <w:t>地址：北京市海淀区西北旺东路10号院西区9号楼4层101</w:t>
        <w:br/>
      </w:r>
      <w:r>
        <w:t>电话：010-82173652</w:t>
        <w:br/>
      </w:r>
      <w:r>
        <w:t>邮编：200233</w:t>
        <w:br/>
      </w:r>
      <w:r>
        <w:t>联系人：谭路</w:t>
        <w:br/>
      </w:r>
      <w:r>
        <w:t>邮箱地址：jackylutan@tencent.com</w:t>
        <w:br/>
      </w:r>
      <w:r>
        <w:t xml:space="preserve">统一社会信用代码：911101085636549482 </w:t>
      </w:r>
      <w:r/>
      <w:r/>
      <w:r/>
    </w:p>
    <w:p>
      <w:pPr>
        <w:pStyle w:val="ListBullet"/>
        <w:spacing w:line="240" w:lineRule="auto"/>
        <w:ind w:left="720"/>
      </w:pPr>
      <w:r/>
      <w:r>
        <w:rPr>
          <w:b/>
        </w:rPr>
        <w:t>所在位置</w:t>
      </w:r>
      <w:r>
        <w:t xml:space="preserve">：合同首部当事人信息栏 </w:t>
      </w:r>
      <w:r/>
    </w:p>
    <w:p>
      <w:pPr>
        <w:pStyle w:val="ListBullet"/>
        <w:spacing w:line="240" w:lineRule="auto"/>
        <w:ind w:left="720"/>
      </w:pPr>
      <w:r/>
      <w:r>
        <w:rPr>
          <w:b/>
        </w:rPr>
        <w:t>问题分析</w:t>
      </w:r>
      <w:r>
        <w:t>：</w:t>
        <w:br/>
      </w:r>
      <w:r>
        <w:t>1. 未载明甲乙双方的法定代表人信息，而依据国家企业信用信息公示系统登记，甲方法定代表人为林仁方，乙方为李强，该信息缺失影响合同签署主体适格性认定及后续责任追溯；</w:t>
        <w:br/>
      </w:r>
      <w:r>
        <w:t>2. 甲方联系电话（0571-56929972）与工商登记备案号码（0571-85866919）不符，可能导致通知送达无效或产生履约沟通障碍；</w:t>
        <w:br/>
      </w:r>
      <w:r>
        <w:t>3. 乙方所填邮编“200233”属上海市闵行区编码，与注册地址“北京市海淀区”明显矛盾，削弱合同形式严谨性，亦可能影响法律文书有效送达；</w:t>
        <w:br/>
      </w:r>
      <w:r>
        <w:t xml:space="preserve">4. 合同未列明传真号码，不符合商事合同惯例及部分行业监管要求（如金融、云服务类合作中常以传真作为辅助送达方式），亦降低信息完备性标准。 </w:t>
      </w:r>
      <w:r/>
    </w:p>
    <w:p>
      <w:pPr>
        <w:pStyle w:val="ListBullet"/>
        <w:spacing w:line="240" w:lineRule="auto"/>
        <w:ind w:left="720"/>
      </w:pPr>
      <w:r/>
      <w:r>
        <w:rPr>
          <w:b/>
        </w:rPr>
        <w:t>法律依据</w:t>
      </w:r>
      <w:r>
        <w:t>：</w:t>
        <w:br/>
      </w:r>
      <w:r>
        <w:t>《中华人民共和国民法典》第四百七十条：合同的内容由当事人约定，一般包括下列条款：（一）当事人的姓名或者名称和住所；……当事人可以参照各类合同的示范文本订立合同。</w:t>
        <w:br/>
      </w:r>
      <w:r>
        <w:t>《电子签名法》第七条：数据电文不得仅因为其是以电子、光学、磁或者类似手段生成、发送、接收或者储存的而被拒绝作为证据。但其真实性、完整性、可验证性需依托于明确、可识别的签约主体信息予以支撑。</w:t>
        <w:br/>
      </w:r>
      <w:r>
        <w:t xml:space="preserve">《合同行政监督管理办法》（国家市场监督管理总局令第77号）第六条：合同当事人应当按照真实、准确、完整的原则填写合同内容，不得虚构、隐瞒或误导性陈述主体信息。 </w:t>
      </w:r>
      <w:r/>
    </w:p>
    <w:p>
      <w:pPr>
        <w:pStyle w:val="ListBullet"/>
        <w:spacing w:line="240" w:lineRule="auto"/>
        <w:ind w:left="720"/>
      </w:pPr>
      <w:r/>
      <w:r>
        <w:rPr>
          <w:b/>
        </w:rPr>
        <w:t>修改建议</w:t>
      </w:r>
      <w:r>
        <w:t xml:space="preserve">： </w:t>
      </w:r>
      <w:r/>
    </w:p>
    <w:p>
      <w:r/>
      <w:r>
        <w:t>甲方：浙江农村商业联合银行股份有限公司</w:t>
        <w:br/>
      </w:r>
      <w:r>
        <w:t>地址：杭州市上城区秋涛路660号</w:t>
        <w:br/>
      </w:r>
      <w:r>
        <w:t>电话：0571-85866919</w:t>
        <w:br/>
      </w:r>
      <w:r>
        <w:t>传真：</w:t>
      </w:r>
      <w:r>
        <w:rPr>
          <w:b/>
          <w:i/>
        </w:rPr>
        <w:t>_</w:t>
        <w:br/>
      </w:r>
      <w:r>
        <w:rPr>
          <w:i/>
        </w:rPr>
        <w:t>邮编：310000</w:t>
        <w:br/>
      </w:r>
      <w:r>
        <w:rPr>
          <w:i/>
        </w:rPr>
        <w:t>联系人：裘竹青</w:t>
        <w:br/>
      </w:r>
      <w:r>
        <w:rPr>
          <w:i/>
        </w:rPr>
        <w:t>邮箱地址：kjc</w:t>
      </w:r>
      <w:r>
        <w:t>ztb@zjrcu.com</w:t>
        <w:br/>
      </w:r>
      <w:r>
        <w:t>法定代表人：林仁方</w:t>
        <w:br/>
      </w:r>
      <w:r>
        <w:t xml:space="preserve">统一社会信用代码：91330000761316739P </w:t>
      </w:r>
      <w:r/>
    </w:p>
    <w:p>
      <w:r/>
      <w:r>
        <w:t>乙方：腾讯云计算(北京)有限责任公司</w:t>
        <w:br/>
      </w:r>
      <w:r>
        <w:t>地址：北京市海淀区西北旺东路10号院西区9号楼4层101</w:t>
        <w:br/>
      </w:r>
      <w:r>
        <w:t>电话：010-82173652</w:t>
        <w:br/>
      </w:r>
      <w:r>
        <w:t>传真：______</w:t>
        <w:br/>
      </w:r>
      <w:r>
        <w:t>邮编：100089</w:t>
        <w:br/>
      </w:r>
      <w:r>
        <w:t>联系人：谭路</w:t>
        <w:br/>
      </w:r>
      <w:r>
        <w:t>邮箱地址：jackylutan@tencent.com</w:t>
        <w:br/>
      </w:r>
      <w:r>
        <w:t>法定代表人：李强</w:t>
        <w:br/>
      </w:r>
      <w:r>
        <w:t>统一社会信用代码：911101085636549482</w:t>
      </w:r>
      <w:r/>
      <w:r/>
      <w:r/>
      <w:r/>
    </w:p>
    <w:p>
      <w:pPr>
        <w:pStyle w:val="Heading4"/>
      </w:pPr>
      <w:r>
        <w:t>检查要点 1.4：购买软件等产品，是否有核心知识产权</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赋予甲方所购软件等产品的核心知识产权（包括著作权、专利权、商业秘密等），仅授予有限、不可转让、不可再许可的使用权；在甲方以取得软件产品所有权或核心知识产权为交易目的的情形下，该安排严重偏离“买卖”法律关系的本质，构成重大权属风险。 </w:t>
      </w:r>
      <w:r/>
    </w:p>
    <w:p>
      <w:pPr>
        <w:pStyle w:val="ListBullet"/>
        <w:spacing w:line="240" w:lineRule="auto"/>
        <w:ind w:left="720"/>
      </w:pPr>
      <w:r/>
      <w:r>
        <w:rPr>
          <w:b/>
        </w:rPr>
        <w:t>原文引用</w:t>
      </w:r>
      <w:r>
        <w:t xml:space="preserve">： </w:t>
      </w:r>
      <w:r/>
    </w:p>
    <w:p>
      <w:r/>
      <w:r>
        <w:t xml:space="preserve">7.2 腾讯云保留本协议项下服务成果和服务衍生品的知识产权和其他权益；除本协议另有明确规定外，本协议任何内容均不得解释为授予甲方前述服务成果和服务衍生品的知识产权和其他权益。 </w:t>
      </w:r>
      <w:r/>
      <w:r/>
      <w:r/>
    </w:p>
    <w:p>
      <w:pPr>
        <w:pStyle w:val="ListBullet"/>
        <w:spacing w:line="240" w:lineRule="auto"/>
        <w:ind w:left="720"/>
      </w:pPr>
      <w:r/>
      <w:r>
        <w:rPr>
          <w:b/>
        </w:rPr>
        <w:t>所在位置</w:t>
      </w:r>
      <w:r>
        <w:t xml:space="preserve">：第七条 知识产权 第7.2款 </w:t>
      </w:r>
      <w:r/>
    </w:p>
    <w:p>
      <w:pPr>
        <w:pStyle w:val="ListBullet"/>
        <w:spacing w:line="240" w:lineRule="auto"/>
        <w:ind w:left="720"/>
      </w:pPr>
      <w:r/>
      <w:r>
        <w:rPr>
          <w:b/>
        </w:rPr>
        <w:t>问题分析</w:t>
      </w:r>
      <w:r>
        <w:t xml:space="preserve">： </w:t>
      </w:r>
      <w:r/>
    </w:p>
    <w:p>
      <w:pPr>
        <w:pStyle w:val="ListBullet"/>
        <w:spacing w:line="240" w:lineRule="auto"/>
        <w:ind w:left="720"/>
      </w:pPr>
      <w:r/>
      <w:r>
        <w:t xml:space="preserve">条款中“服务成果和服务衍生品”定义模糊，未排除甲方委托开发形成的具有独立价值的软件模块、算法模型、接口规范、配置代码等成果，易导致核心交付物权属归属腾讯云； </w:t>
      </w:r>
      <w:r/>
    </w:p>
    <w:p>
      <w:pPr>
        <w:pStyle w:val="ListBullet"/>
        <w:spacing w:line="240" w:lineRule="auto"/>
        <w:ind w:left="720"/>
      </w:pPr>
      <w:r/>
      <w:r>
        <w:t xml:space="preserve">“除本协议另有明确规定外”为形式性保留条款，但全文无任何明确授予甲方知识产权的特别约定，实际形成腾讯云单方全盘保留权属的效果； </w:t>
      </w:r>
      <w:r/>
    </w:p>
    <w:p>
      <w:pPr>
        <w:pStyle w:val="ListBullet"/>
        <w:spacing w:line="240" w:lineRule="auto"/>
        <w:ind w:left="720"/>
      </w:pPr>
      <w:r/>
      <w:r>
        <w:t xml:space="preserve">未区分“背景知识产权”（腾讯云既有技术）与“前景知识产权”（履约中新生成成果），违反《民法典》关于技术成果归属应依约定优先、兼顾公平合理的基本原则； </w:t>
      </w:r>
      <w:r/>
    </w:p>
    <w:p>
      <w:pPr>
        <w:pStyle w:val="ListBullet"/>
        <w:spacing w:line="240" w:lineRule="auto"/>
        <w:ind w:left="720"/>
      </w:pPr>
      <w:r/>
      <w:r>
        <w:t xml:space="preserve">若合同实质系软件产品采购（如SaaS许可、定制化软件交付、源码买断等），现行条款将法律关系不当定性为技术服务，剥夺甲方作为买受人依法应享有的软件著作权原始取得或继受取得权利。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《中华人民共和国民法典》第八百四十三条：技术合同是当事人就技术开发、转让、许可、咨询或者服务订立的确立相互之间权利和义务的合同； </w:t>
      </w:r>
      <w:r/>
    </w:p>
    <w:p>
      <w:pPr>
        <w:pStyle w:val="ListBullet"/>
        <w:spacing w:line="240" w:lineRule="auto"/>
        <w:ind w:left="720"/>
      </w:pPr>
      <w:r/>
      <w:r>
        <w:t xml:space="preserve">《中华人民共和国民法典》第八百五十九条：委托开发完成的发明创造，除当事人另有约定外，申请专利的权利属于研究开发人；但本合同未明示为委托开发关系，亦未就知识产权归属作出有效约定，导致法定规则适用前提缺失； </w:t>
      </w:r>
      <w:r/>
    </w:p>
    <w:p>
      <w:pPr>
        <w:pStyle w:val="ListBullet"/>
        <w:spacing w:line="240" w:lineRule="auto"/>
        <w:ind w:left="720"/>
      </w:pPr>
      <w:r/>
      <w:r>
        <w:t xml:space="preserve">《计算机软件保护条例》第九条：软件著作权属于软件开发者，本条例另有规定的除外；甲方未被界定为开发者，亦无约定原始取得路径，无法主张著作权。 </w:t>
      </w:r>
      <w:r/>
    </w:p>
    <w:p>
      <w:pPr>
        <w:pStyle w:val="ListBullet"/>
        <w:spacing w:line="240" w:lineRule="auto"/>
        <w:ind w:left="720"/>
      </w:pPr>
      <w:r/>
      <w:r>
        <w:rPr>
          <w:b/>
        </w:rPr>
        <w:t>修改建议</w:t>
      </w:r>
      <w:r>
        <w:t xml:space="preserve">： </w:t>
      </w:r>
      <w:r/>
    </w:p>
    <w:p>
      <w:r/>
      <w:r>
        <w:t>7.2 甲方就本协议项下由腾讯云为其专门开发、定制并交付的软件产品（包括但不限于源代码、目标代码、技术文档、算法模型、数据处理逻辑等“交付成果”）享有完整的知识产权，包括著作权、专利申请权及商业秘密权；腾讯云应于最终交付完成后【】日内向甲方出具书面知识产权转让确认函，并配合办理著作权登记、专利著录事项变更等必要手续。腾讯云对其自有通用平台、基础架构、第三方组件及履约前已存在的技术方案等“背景知识产权”保有全部权利，但须确保其不实质性限制甲方对交付成果的自主使用、修改、部署、集成及再许可权利。</w:t>
      </w:r>
      <w:r/>
      <w:r/>
      <w:r/>
      <w:r/>
    </w:p>
    <w:p>
      <w:pPr>
        <w:pStyle w:val="Heading3"/>
      </w:pPr>
      <w:r>
        <w:t>（二）合同框架</w:t>
      </w:r>
      <w:r/>
    </w:p>
    <w:p>
      <w:pPr>
        <w:pStyle w:val="Heading4"/>
      </w:pPr>
      <w:r>
        <w:t>检查要点 2.1：合同主要项目负责人是否确定、是否预留姓名、身份证号码及电话号码</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：合同未明确约定任何一方的项目负责人信息，包括姓名、身份证号码及联系电话，导致履约责任主体缺位，严重影响通知送达、文件签认、验收确认及违约追责等关键环节的法律效力与可执行性。 </w:t>
      </w:r>
      <w:r/>
    </w:p>
    <w:p>
      <w:pPr>
        <w:pStyle w:val="ListBullet"/>
        <w:spacing w:line="240" w:lineRule="auto"/>
        <w:ind w:left="720"/>
      </w:pPr>
      <w:r/>
      <w:r>
        <w:rPr>
          <w:b/>
        </w:rPr>
        <w:t>原文引用</w:t>
      </w:r>
      <w:r>
        <w:t xml:space="preserve">： </w:t>
      </w:r>
      <w:r/>
    </w:p>
    <w:p>
      <w:r/>
      <w:r>
        <w:t xml:space="preserve">未找到相关内容 </w:t>
      </w:r>
      <w:r/>
      <w:r/>
      <w:r/>
    </w:p>
    <w:p>
      <w:pPr>
        <w:pStyle w:val="ListBullet"/>
        <w:spacing w:line="240" w:lineRule="auto"/>
        <w:ind w:left="720"/>
      </w:pPr>
      <w:r/>
      <w:r>
        <w:rPr>
          <w:b/>
        </w:rPr>
        <w:t>所在位置</w:t>
      </w:r>
      <w:r>
        <w:t xml:space="preserve">：合同全文未设置项目负责人条款，亦无任何关于指定履约对接人员的约定 </w:t>
      </w:r>
      <w:r/>
    </w:p>
    <w:p>
      <w:pPr>
        <w:pStyle w:val="ListBullet"/>
        <w:spacing w:line="240" w:lineRule="auto"/>
        <w:ind w:left="720"/>
      </w:pPr>
      <w:r/>
      <w:r>
        <w:rPr>
          <w:b/>
        </w:rPr>
        <w:t>问题分析</w:t>
      </w:r>
      <w:r>
        <w:t xml:space="preserve">：项目负责人系合同履行过程中实施技术协调、进度确认、单据签收、变更响应及争议前置沟通等行为的核心自然人主体。其身份不明将直接引发《民法典》第一百七十条所指“无权代理”风险，致使相关履约行为效力待定；同时，因缺乏有效联系人及身份凭证，亦难以满足《最高人民法院关于适用〈中华人民共和国民事诉讼法〉的解释》第一百一十一条关于“当事人应确认送达地址及联系人”的司法实践要求，显著增加诉讼程序中的举证难度与送达障碍。 </w:t>
      </w:r>
      <w:r/>
    </w:p>
    <w:p>
      <w:pPr>
        <w:pStyle w:val="ListBullet"/>
        <w:spacing w:line="240" w:lineRule="auto"/>
        <w:ind w:left="720"/>
      </w:pPr>
      <w:r/>
      <w:r>
        <w:rPr>
          <w:b/>
        </w:rPr>
        <w:t>法律依据</w:t>
      </w:r>
      <w:r>
        <w:t xml:space="preserve">：《中华人民共和国民法典》第五百零九条（全面履行义务）、第一百七十条（职务代理与表见代理边界）；《最高人民法院关于适用〈中华人民共和国民事诉讼法〉的解释》第一百一十一条（诉讼文书送达联系人确认的司法导向）。 </w:t>
      </w:r>
      <w:r/>
    </w:p>
    <w:p>
      <w:pPr>
        <w:pStyle w:val="ListBullet"/>
        <w:spacing w:line="240" w:lineRule="auto"/>
        <w:ind w:left="720"/>
      </w:pPr>
      <w:r/>
      <w:r>
        <w:rPr>
          <w:b/>
        </w:rPr>
        <w:t>修改建议</w:t>
      </w:r>
      <w:r>
        <w:t xml:space="preserve">： </w:t>
      </w:r>
      <w:r/>
    </w:p>
    <w:p>
      <w:r/>
      <w:r>
        <w:t>第X条 项目负责人</w:t>
        <w:br/>
      </w:r>
      <w:r>
        <w:t>双方确认，本合同项下各自指定一名项目负责人，全权代表本方处理与本合同履行相关的一切事务，包括但不限于技术对接、进度确认、文件签收、变更协商及争议初步沟通等。</w:t>
        <w:br/>
      </w:r>
      <w:r>
        <w:t>甲方项目负责人：姓名：</w:t>
      </w:r>
      <w:r>
        <w:rPr>
          <w:b/>
          <w:i/>
        </w:rPr>
        <w:t>_</w:t>
      </w:r>
      <w:r>
        <w:rPr>
          <w:b/>
        </w:rPr>
        <w:t>_，身份证号码：</w:t>
      </w:r>
      <w:r>
        <w:rPr>
          <w:b/>
          <w:i/>
        </w:rPr>
        <w:t>_</w:t>
      </w:r>
      <w:r>
        <w:rPr>
          <w:b/>
          <w:i/>
        </w:rPr>
        <w:t>_</w:t>
      </w:r>
      <w:r>
        <w:rPr>
          <w:b/>
          <w:i/>
        </w:rPr>
        <w:t>_</w:t>
      </w:r>
      <w:r>
        <w:t>_，联系电话：</w:t>
      </w:r>
      <w:r>
        <w:rPr>
          <w:b/>
          <w:i/>
        </w:rPr>
        <w:t>_</w:t>
      </w:r>
      <w:r>
        <w:rPr>
          <w:b/>
          <w:i/>
        </w:rPr>
        <w:t>_</w:t>
      </w:r>
      <w:r>
        <w:rPr>
          <w:b/>
        </w:rPr>
        <w:t>，电子邮箱：</w:t>
      </w:r>
      <w:r>
        <w:rPr>
          <w:b/>
          <w:i/>
        </w:rPr>
        <w:t>_</w:t>
      </w:r>
      <w:r>
        <w:rPr>
          <w:b/>
          <w:i/>
        </w:rPr>
        <w:t>；</w:t>
        <w:br/>
      </w:r>
      <w:r>
        <w:rPr>
          <w:b/>
          <w:i/>
        </w:rPr>
        <w:t>乙方项目负责人：姓名：</w:t>
      </w:r>
      <w:r>
        <w:rPr>
          <w:b/>
          <w:i/>
        </w:rPr>
        <w:t>，身份证号码：</w:t>
      </w:r>
      <w:r>
        <w:rPr>
          <w:b/>
          <w:i/>
        </w:rPr>
        <w:t>_</w:t>
      </w:r>
      <w:r>
        <w:rPr>
          <w:b/>
          <w:i/>
        </w:rPr>
        <w:t>_</w:t>
      </w:r>
      <w:r>
        <w:rPr>
          <w:b/>
          <w:i/>
        </w:rPr>
        <w:t>_</w:t>
      </w:r>
      <w:r>
        <w:t>，联系电话：</w:t>
      </w:r>
      <w:r>
        <w:rPr>
          <w:b/>
          <w:i/>
        </w:rPr>
        <w:t>_</w:t>
      </w:r>
      <w:r>
        <w:rPr>
          <w:b/>
          <w:i/>
        </w:rPr>
        <w:t>_</w:t>
      </w:r>
      <w:r>
        <w:rPr>
          <w:b/>
        </w:rPr>
        <w:t>，电子邮箱：</w:t>
      </w:r>
      <w:r>
        <w:rPr>
          <w:b/>
          <w:i/>
        </w:rPr>
        <w:t>_</w:t>
      </w:r>
      <w:r>
        <w:t>___。</w:t>
        <w:br/>
      </w:r>
      <w:r>
        <w:t>任一方变更项目负责人，应提前3个工作日以加盖公章的书面通知送达对方；未按前述方式通知的，原负责人所实施的与本合同相关的履职行为，对本方仍具有法律约束力。</w:t>
      </w:r>
      <w:r/>
      <w:r/>
      <w:r/>
      <w:r/>
    </w:p>
    <w:p>
      <w:pPr>
        <w:pStyle w:val="Heading4"/>
      </w:pPr>
      <w:r>
        <w:t>检查要点 2.2：采购内容：品种、规格、型号、等级、花色等应具体注明，必要时可通过附件说明标的物的实际情况</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：合同正文及附件一《合同内容清单》未载明所涉服务（CDN网站加速、对象存储、CDN APP内应用升级加速）的具体技术参数与可执行标准，缺乏对服务范围、性能指标、安全能力、兼容性、合规性等关键要素的明确约定，导致标的物边界不清、交付标准缺失、验收依据不足，构成重大履约不确定性与争议风险。 </w:t>
      </w:r>
      <w:r/>
    </w:p>
    <w:p>
      <w:pPr>
        <w:pStyle w:val="ListBullet"/>
        <w:spacing w:line="240" w:lineRule="auto"/>
        <w:ind w:left="720"/>
      </w:pPr>
      <w:r/>
      <w:r>
        <w:rPr>
          <w:b/>
        </w:rPr>
        <w:t>原文引用</w:t>
      </w:r>
      <w:r>
        <w:t xml:space="preserve">： </w:t>
      </w:r>
      <w:r/>
    </w:p>
    <w:p>
      <w:r/>
      <w:r>
        <w:t xml:space="preserve">附件一 </w:t>
      </w:r>
      <w:r/>
    </w:p>
    <w:p>
      <w:r/>
      <w:r>
        <w:t xml:space="preserve">合同内容清单 </w:t>
      </w:r>
      <w:r/>
    </w:p>
    <w:p>
      <w:r/>
      <w:r>
        <w:t xml:space="preserve">一.产品优惠报价 </w:t>
      </w:r>
      <w:r/>
    </w:p>
    <w:p>
      <w:r/>
      <w:r>
        <w:t xml:space="preserve">（1）CDN网站加速费用 </w:t>
      </w:r>
      <w:r/>
    </w:p>
    <w:p>
      <w:r/>
      <w:r>
        <w:t xml:space="preserve">计费方式-带宽月结： </w:t>
      </w:r>
      <w:r/>
    </w:p>
    <w:p>
      <w:r/>
      <w:r>
        <w:t xml:space="preserve">CDN 每日带宽统计点共288个，从当月1号起，每一个有效日（产生消耗）的所有统计点进行排序，去掉前5%的统计点，剩下的最大的统计点，即为计费带宽，再根据合同价格计算费用。采用阶梯到达模式，阶梯价格如下所示： </w:t>
      </w:r>
      <w:r/>
    </w:p>
    <w:p>
      <w:r/>
      <w:r>
        <w:t xml:space="preserve">（2）对象存储费用 </w:t>
      </w:r>
      <w:r/>
    </w:p>
    <w:p>
      <w:r/>
      <w:r>
        <w:t xml:space="preserve">对象存储用于存放APP升级包使用。该部分费用分为三部分：标准存储容量包，CDN回源流量包，标准存储读写请求。价格如下： </w:t>
      </w:r>
      <w:r/>
    </w:p>
    <w:p>
      <w:r/>
      <w:r>
        <w:t xml:space="preserve">（3）CDN APP内应用升级加速费用 </w:t>
      </w:r>
      <w:r/>
    </w:p>
    <w:p>
      <w:r/>
      <w:r>
        <w:t xml:space="preserve">用于丰收互联APP内部更新、内应用升级，使用流量包方式一次性购买。 </w:t>
      </w:r>
      <w:r/>
    </w:p>
    <w:p>
      <w:r/>
      <w:r>
        <w:t xml:space="preserve">CDN境内流量包定价： </w:t>
      </w:r>
      <w:r/>
      <w:r/>
      <w:r/>
    </w:p>
    <w:p>
      <w:pPr>
        <w:pStyle w:val="ListBullet"/>
        <w:spacing w:line="240" w:lineRule="auto"/>
        <w:ind w:left="720"/>
      </w:pPr>
      <w:r/>
      <w:r>
        <w:rPr>
          <w:b/>
        </w:rPr>
        <w:t>所在位置</w:t>
      </w:r>
      <w:r>
        <w:t xml:space="preserve">：第十四条 其他 → 附件一《合同内容清单》 </w:t>
      </w:r>
      <w:r/>
    </w:p>
    <w:p>
      <w:pPr>
        <w:pStyle w:val="ListBullet"/>
        <w:spacing w:line="240" w:lineRule="auto"/>
        <w:ind w:left="720"/>
      </w:pPr>
      <w:r/>
      <w:r>
        <w:rPr>
          <w:b/>
        </w:rPr>
        <w:t>问题分析</w:t>
      </w:r>
      <w:r>
        <w:t xml:space="preserve">：附件一仅聚焦计费逻辑与用途描述，完全未列明任何可量化、可验证、可验收的技术规格或服务要求。例如： </w:t>
      </w:r>
      <w:r/>
    </w:p>
    <w:p>
      <w:pPr>
        <w:pStyle w:val="ListBullet"/>
        <w:spacing w:line="240" w:lineRule="auto"/>
        <w:ind w:left="720"/>
      </w:pPr>
      <w:r/>
      <w:r>
        <w:t xml:space="preserve">“CDN网站加速”未定义支持协议版本、缓存策略粒度、边缘节点地理分布、WAF防护能力、SLA可用性及响应时效； </w:t>
      </w:r>
      <w:r/>
    </w:p>
    <w:p>
      <w:pPr>
        <w:pStyle w:val="ListBullet"/>
        <w:spacing w:line="240" w:lineRule="auto"/>
        <w:ind w:left="720"/>
      </w:pPr>
      <w:r/>
      <w:r>
        <w:t xml:space="preserve">“对象存储”未明确存储类型、数据持久性与可用性指标、IOPS/延迟性能、API兼容标准（如S3 v4）、加密机制及密钥管理方式； </w:t>
      </w:r>
      <w:r/>
    </w:p>
    <w:p>
      <w:pPr>
        <w:pStyle w:val="ListBullet"/>
        <w:spacing w:line="240" w:lineRule="auto"/>
        <w:ind w:left="720"/>
      </w:pPr>
      <w:r/>
      <w:r>
        <w:t>“CDN APP内应用升级加速”未规定流量包有效期、并发承载能力、签名验签机制、灰度发布与回滚功能等核心业务支撑参数。</w:t>
        <w:br/>
      </w:r>
      <w:r>
        <w:t xml:space="preserve">上述缺失致使合同无法满足“标的明确、标准可依、验收可行”的基本履约前提，显著增加履约分歧、质量争议及违约认定难度。 </w:t>
      </w:r>
      <w:r/>
    </w:p>
    <w:p>
      <w:pPr>
        <w:pStyle w:val="ListBullet"/>
        <w:spacing w:line="240" w:lineRule="auto"/>
        <w:ind w:left="720"/>
      </w:pPr>
      <w:r/>
      <w:r>
        <w:rPr>
          <w:b/>
        </w:rPr>
        <w:t>法律依据</w:t>
      </w:r>
      <w:r>
        <w:t>：</w:t>
        <w:br/>
      </w:r>
      <w:r>
        <w:t>《中华人民共和国民法典》第五百一十条：“合同生效后，当事人就质量、价款或者报酬、履行地点等内容没有约定或者约定不明确的，可以协议补充；不能达成补充协议的，按照合同相关条款或者交易习惯确定。”</w:t>
        <w:br/>
      </w:r>
      <w:r>
        <w:t xml:space="preserve">《政府采购货物和服务招标投标管理办法》（财政部令第87号）第十一条关于采购需求应“完整、明确”，包括“需满足的质量、安全、技术规格、物理特性等要求”的规定，虽本合同非政府采购项目，但其确立的技术要素明确性原则具有普遍适用的合同审慎性指引意义。 </w:t>
      </w:r>
      <w:r/>
    </w:p>
    <w:p>
      <w:pPr>
        <w:pStyle w:val="ListBullet"/>
        <w:spacing w:line="240" w:lineRule="auto"/>
        <w:ind w:left="720"/>
      </w:pPr>
      <w:r/>
      <w:r>
        <w:rPr>
          <w:b/>
        </w:rPr>
        <w:t>修改建议</w:t>
      </w:r>
      <w:r>
        <w:t xml:space="preserve">： </w:t>
      </w:r>
      <w:r/>
    </w:p>
    <w:p>
      <w:r/>
      <w:r>
        <w:t xml:space="preserve">附件一 </w:t>
      </w:r>
      <w:r/>
    </w:p>
    <w:p>
      <w:r/>
      <w:r>
        <w:t xml:space="preserve">合同内容清单 </w:t>
      </w:r>
      <w:r/>
    </w:p>
    <w:p>
      <w:r/>
      <w:r>
        <w:t xml:space="preserve">一、产品技术规格与服务要求 </w:t>
      </w:r>
      <w:r/>
    </w:p>
    <w:p>
      <w:r/>
      <w:r>
        <w:t>（1）CDN网站加速服务</w:t>
        <w:br/>
      </w:r>
      <w:r>
        <w:t>▪ 支持协议：HTTP/1.1、HTTP/2、HTTPS（TLS 1.2+）、QUIC（v1）；</w:t>
        <w:br/>
      </w:r>
      <w:r>
        <w:t>▪ 缓存策略：默认TTL≥3600秒，支持按URL路径、Header、Cookie精细化配置；</w:t>
        <w:br/>
      </w:r>
      <w:r>
        <w:t>▪ 节点覆盖：境内不少于300个边缘节点，覆盖全部省级行政区及主要地级市；境外节点不少于50个，覆盖北美、欧洲、东南亚核心区域；</w:t>
        <w:br/>
      </w:r>
      <w:r>
        <w:t>▪ 安全能力：内置Web应用防火墙（WAF），支持OWASP Top 10攻击防护，提供CC防护阈值≥1000 QPS；</w:t>
        <w:br/>
      </w:r>
      <w:r>
        <w:t xml:space="preserve">▪ SLA承诺：服务可用性≥99.95%，故障响应时间≤15分钟，恢复时间≤30分钟。 </w:t>
      </w:r>
      <w:r/>
    </w:p>
    <w:p>
      <w:r/>
      <w:r>
        <w:t>（2）对象存储服务</w:t>
        <w:br/>
      </w:r>
      <w:r>
        <w:t>▪ 存储类型：标准存储（Standard），数据持久性≥99.999999999%（11个9），年化可用性≥99.9%；</w:t>
        <w:br/>
      </w:r>
      <w:r>
        <w:t>▪ 性能指标：单Bucket读写请求QPS ≥ 10,000，平均端到端延迟 ≤ 50ms（95分位）；</w:t>
        <w:br/>
      </w:r>
      <w:r>
        <w:t>▪ API兼容性：完全兼容Amazon S3 REST API v4签名，支持跨域资源共享（CORS）及预签名URL；</w:t>
        <w:br/>
      </w:r>
      <w:r>
        <w:t>▪ 加密要求：服务端默认AES-256加密，支持客户自管密钥（CMK）集成；</w:t>
        <w:br/>
      </w:r>
      <w:r>
        <w:t xml:space="preserve">▪ 合规认证：通过等保三级、ISO 27001、GDPR适配认证。 </w:t>
      </w:r>
      <w:r/>
    </w:p>
    <w:p>
      <w:r/>
      <w:r>
        <w:t>（3）CDN APP内应用升级加速服务</w:t>
        <w:br/>
      </w:r>
      <w:r>
        <w:t>▪ 流量包有效期：自激活日起12个月；</w:t>
        <w:br/>
      </w:r>
      <w:r>
        <w:t>▪ 并发能力：单次升级任务支持≥50万终端并发下载，首字节时间（TTFB）≤200ms（95分位）；</w:t>
        <w:br/>
      </w:r>
      <w:r>
        <w:t>▪ 签名机制：支持RSA-SHA256 APK签名验签，集成丰收互联APP现有密钥体系；</w:t>
        <w:br/>
      </w:r>
      <w:r>
        <w:t xml:space="preserve">▪ 发布能力：支持灰度发布（按设备ID/用户标签/地域分组）、AB测试、一键回滚至任意历史版本。 </w:t>
      </w:r>
      <w:r/>
    </w:p>
    <w:p>
      <w:r/>
      <w:r>
        <w:t>二、产品优惠报价（保留原计费逻辑与价格表）</w:t>
      </w:r>
      <w:r/>
      <w:r/>
      <w:r/>
      <w:r/>
    </w:p>
    <w:p>
      <w:pPr>
        <w:pStyle w:val="Heading4"/>
      </w:pPr>
      <w:r>
        <w:t>检查要点 2.3：合同金额：数量、价款要明确，包括数额的计量单位，同时写明标的物的单价、总价，币种等</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约定服务数量、单价、总价、计量单位等核心金额要素，仅在第十四条14.2款中单方面明确结算币种为人民币，缺乏金额条款的基本确定性，可能导致合同内容不明确，影响合同成立效力及后续履行、结算与争议解决。 </w:t>
      </w:r>
      <w:r/>
    </w:p>
    <w:p>
      <w:pPr>
        <w:pStyle w:val="ListBullet"/>
        <w:spacing w:line="240" w:lineRule="auto"/>
        <w:ind w:left="720"/>
      </w:pPr>
      <w:r/>
      <w:r>
        <w:rPr>
          <w:b/>
        </w:rPr>
        <w:t>原文引用</w:t>
      </w:r>
      <w:r>
        <w:t xml:space="preserve">： </w:t>
      </w:r>
      <w:r/>
    </w:p>
    <w:p>
      <w:r/>
      <w:r>
        <w:t xml:space="preserve">3.2.1 甲方可以通过先付费或后付费的方式获取腾讯云服务，具体以甲方所购买的服务所支持的付费方式为准。 </w:t>
      </w:r>
      <w:r/>
    </w:p>
    <w:p>
      <w:r/>
      <w:r>
        <w:t xml:space="preserve">先付费，或称“预付费”，甲方需要在提交订单并完成付费后，腾讯云才提供相应的服务；后付费，甲方先使用服务后支付费用，甲方需在按照该服务的服务规则确定的付款期限内支付费用。 </w:t>
      </w:r>
      <w:r/>
    </w:p>
    <w:p>
      <w:r/>
      <w:r>
        <w:t xml:space="preserve">14.2 除非另有说明，本协议正文及其附件中所有的“天”均为自然日，结算货币均为人民币。 </w:t>
      </w:r>
      <w:r/>
      <w:r/>
      <w:r/>
    </w:p>
    <w:p>
      <w:pPr>
        <w:pStyle w:val="ListBullet"/>
        <w:spacing w:line="240" w:lineRule="auto"/>
        <w:ind w:left="720"/>
      </w:pPr>
      <w:r/>
      <w:r>
        <w:rPr>
          <w:b/>
        </w:rPr>
        <w:t>所在位置</w:t>
      </w:r>
      <w:r>
        <w:t xml:space="preserve">：第三条3.2.1款、第十四条14.2款 </w:t>
      </w:r>
      <w:r/>
    </w:p>
    <w:p>
      <w:pPr>
        <w:pStyle w:val="ListBullet"/>
        <w:spacing w:line="240" w:lineRule="auto"/>
        <w:ind w:left="720"/>
      </w:pPr>
      <w:r/>
      <w:r>
        <w:rPr>
          <w:b/>
        </w:rPr>
        <w:t>问题分析</w:t>
      </w:r>
      <w:r>
        <w:t xml:space="preserve">：合同全文未载明任何具体金额数值、服务数量、计价单位（如CPU核时、GB存储/月、API调用量等）、单价构成、总价金额及大小写表述，亦未通过附件等方式予以补充约定。虽提及“先付费/后付费”机制及币种，但未建立可执行的计价基础，导致合同对价关系缺失，无法满足《民法典》关于合同内容确定性的基本要求，亦不符合商业合同实务中对价格条款的审慎规范标准。 </w:t>
      </w:r>
      <w:r/>
    </w:p>
    <w:p>
      <w:pPr>
        <w:pStyle w:val="ListBullet"/>
        <w:spacing w:line="240" w:lineRule="auto"/>
        <w:ind w:left="720"/>
      </w:pPr>
      <w:r/>
      <w:r>
        <w:rPr>
          <w:b/>
        </w:rPr>
        <w:t>法律依据</w:t>
      </w:r>
      <w:r>
        <w:t xml:space="preserve">：《中华人民共和国民法典》第五百一十条：“合同生效后，当事人就质量、价款或者报酬、履行地点等内容没有约定或者约定不明确的，可以协议补充；不能达成补充协议的，按照合同相关条款或者交易习惯确定。”但该条款适用前提为合同已成立且具备基本确定性；若价款等关键要素完全缺位，可能影响合同成立（参见《民法典》第四百七十条关于合同内容一般包括“标的、数量、质量、价款或者报酬……”之规定）。 </w:t>
      </w:r>
      <w:r/>
    </w:p>
    <w:p>
      <w:pPr>
        <w:pStyle w:val="ListBullet"/>
        <w:spacing w:line="240" w:lineRule="auto"/>
        <w:ind w:left="720"/>
      </w:pPr>
      <w:r/>
      <w:r>
        <w:rPr>
          <w:b/>
        </w:rPr>
        <w:t>修改建议</w:t>
      </w:r>
      <w:r>
        <w:t xml:space="preserve">： </w:t>
      </w:r>
      <w:r/>
    </w:p>
    <w:p>
      <w:r/>
      <w:r>
        <w:t>3.2.1 甲方可以通过先付费或后付费的方式获取腾讯云服务，具体以甲方所购买的服务所支持的付费方式为准。服务的数量、单价、总价、计价单位及费用构成详见附件一《服务价格清单》。本合同项下服务总金额为人民币（大写）</w:t>
      </w:r>
      <w:r>
        <w:rPr>
          <w:b/>
          <w:i/>
        </w:rPr>
        <w:t>_</w:t>
      </w:r>
      <w:r>
        <w:rPr>
          <w:i/>
        </w:rPr>
        <w:t>元整（¥</w:t>
      </w:r>
      <w:r>
        <w:rPr>
          <w:b/>
          <w:i/>
        </w:rPr>
        <w:t>_</w:t>
      </w:r>
      <w:r>
        <w:t>.00），该金额为含税价，已包含全部服务费用及法定税费。附件一为本协议不可分割的组成部分，与本协议具有同等法律效力。</w:t>
      </w:r>
      <w:r/>
      <w:r/>
      <w:r/>
      <w:r/>
    </w:p>
    <w:p>
      <w:pPr>
        <w:pStyle w:val="Heading4"/>
      </w:pPr>
      <w:r>
        <w:t>检查要点 2.4：付款计划：要有明确节点确认付款，应预留一部分金额待免费维保期结束后支付，且明确发票类型</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设置与服务履行进度挂钩的分阶段付款节点；未预留维保期届满后支付的质量尾款；虽提及“增值税专用发票”，但未统一发票类型要求、未明确各付款节点对应的发票开具义务及合规标准，存在付款依据缺失、履约约束力不足、税务合规风险及资金安全风险。 </w:t>
      </w:r>
      <w:r/>
    </w:p>
    <w:p>
      <w:pPr>
        <w:pStyle w:val="ListBullet"/>
        <w:spacing w:line="240" w:lineRule="auto"/>
        <w:ind w:left="720"/>
      </w:pPr>
      <w:r/>
      <w:r>
        <w:rPr>
          <w:b/>
        </w:rPr>
        <w:t>原文引用</w:t>
      </w:r>
      <w:r>
        <w:t xml:space="preserve">： </w:t>
      </w:r>
      <w:r/>
    </w:p>
    <w:p>
      <w:r/>
      <w:r>
        <w:t xml:space="preserve">4.付款时，乙方应开具付款通知和应付款项的等额增值税专用发票，甲方在收到乙方付款通知和发票，并核实无误后30个工作日内向乙方支付与发票金额等额的款项，乙方迟延送达付款通知或发票的，甲方的付款义务相应顺延。 </w:t>
      </w:r>
      <w:r/>
      <w:r/>
      <w:r/>
    </w:p>
    <w:p>
      <w:pPr>
        <w:pStyle w:val="ListBullet"/>
        <w:spacing w:line="240" w:lineRule="auto"/>
        <w:ind w:left="720"/>
      </w:pPr>
      <w:r/>
      <w:r>
        <w:rPr>
          <w:b/>
        </w:rPr>
        <w:t>所在位置</w:t>
      </w:r>
      <w:r>
        <w:t xml:space="preserve">：第十四条 其他 → 三、商务要求 → 第4款 </w:t>
      </w:r>
      <w:r/>
    </w:p>
    <w:p>
      <w:pPr>
        <w:pStyle w:val="ListBullet"/>
        <w:spacing w:line="240" w:lineRule="auto"/>
        <w:ind w:left="720"/>
      </w:pPr>
      <w:r/>
      <w:r>
        <w:rPr>
          <w:b/>
        </w:rPr>
        <w:t>问题分析</w:t>
      </w:r>
      <w:r>
        <w:t xml:space="preserve">： </w:t>
      </w:r>
      <w:r/>
    </w:p>
    <w:p>
      <w:pPr>
        <w:pStyle w:val="ListBullet"/>
        <w:spacing w:line="240" w:lineRule="auto"/>
        <w:ind w:left="720"/>
      </w:pPr>
      <w:r/>
      <w:r>
        <w:t xml:space="preserve">条款中“付款时”表述模糊，未对应具体服务里程碑（如开通、配置完成、迁移验收、终验通过、维保期满），缺乏可执行的付款触发条件，导致付款义务与履约成果脱钩； </w:t>
      </w:r>
      <w:r/>
    </w:p>
    <w:p>
      <w:pPr>
        <w:pStyle w:val="ListBullet"/>
        <w:spacing w:line="240" w:lineRule="auto"/>
        <w:ind w:left="720"/>
      </w:pPr>
      <w:r/>
      <w:r>
        <w:t xml:space="preserve">全文未设置维保期结束后的质量尾款机制，与第十四条约定的“免费提供CDN服务配置、迁移及技术支持”义务不匹配，削弱甲方对乙方持续服务质量的经济制衡能力； </w:t>
      </w:r>
      <w:r/>
    </w:p>
    <w:p>
      <w:pPr>
        <w:pStyle w:val="ListBullet"/>
        <w:spacing w:line="240" w:lineRule="auto"/>
        <w:ind w:left="720"/>
      </w:pPr>
      <w:r/>
      <w:r>
        <w:t xml:space="preserve">发票类型表述不一致：第十四条第4款限定为“增值税专用发票”，而第三条3.2.8款仅泛称“合规的增值税发票”，未明确适用场景、开票前提及错误开票的纠正机制，易引发税务争议并影响进项税抵扣，违反增值税发票管理的法定要求。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《中华人民共和国发票管理办法》第十九条：“销售商品、提供服务以及从事其他经营活动的单位和个人，对外发生经营业务收取款项，收款方应当向付款方开具发票。” </w:t>
      </w:r>
      <w:r/>
    </w:p>
    <w:p>
      <w:pPr>
        <w:pStyle w:val="ListBullet"/>
        <w:spacing w:line="240" w:lineRule="auto"/>
        <w:ind w:left="720"/>
      </w:pPr>
      <w:r/>
      <w:r>
        <w:t xml:space="preserve">《财政部 国家税务总局关于全面推开营业税改征增值税试点的通知》（财税〔2016〕36号）附件1第四十五条：“纳税人发生应税行为并收讫销售款项或者取得索取销售款项凭据的当天；先开具发票的，为开具发票的当天。” </w:t>
      </w:r>
      <w:r/>
    </w:p>
    <w:p>
      <w:pPr>
        <w:pStyle w:val="ListBullet"/>
        <w:spacing w:line="240" w:lineRule="auto"/>
        <w:ind w:left="720"/>
      </w:pPr>
      <w:r/>
      <w:r>
        <w:t xml:space="preserve">《民法典》第五百零九条：“当事人应当按照约定全面履行自己的义务。”——付款节点缺失导致合同主要义务履行顺序不明，影响履约评价与违约认定。 </w:t>
      </w:r>
      <w:r/>
    </w:p>
    <w:p>
      <w:pPr>
        <w:pStyle w:val="ListBullet"/>
        <w:spacing w:line="240" w:lineRule="auto"/>
        <w:ind w:left="720"/>
      </w:pPr>
      <w:r/>
      <w:r>
        <w:rPr>
          <w:b/>
        </w:rPr>
        <w:t>修改建议</w:t>
      </w:r>
      <w:r>
        <w:t xml:space="preserve">： </w:t>
      </w:r>
      <w:r/>
      <w:r/>
    </w:p>
    <w:p>
      <w:pPr>
        <w:pStyle w:val="ListNumber"/>
        <w:spacing w:line="240" w:lineRule="auto"/>
        <w:ind w:left="1440"/>
      </w:pPr>
      <w:r/>
      <w:r>
        <w:t>付款安排如下：</w:t>
        <w:br/>
      </w:r>
      <w:r>
        <w:t>（1）本合同项下服务费用采用“分阶段+尾款”方式支付，具体节点及比例如下：</w:t>
        <w:br/>
      </w:r>
      <w:r>
        <w:t>a) 服务开通并完成初始配置后5个工作日内，甲方向乙方支付合同总金额的30%作为预付款；</w:t>
        <w:br/>
      </w:r>
      <w:r>
        <w:t>b) CDN服务迁移完成并通过甲方书面验收后5个工作日内，支付合同总金额的40%；</w:t>
        <w:br/>
      </w:r>
      <w:r>
        <w:t>c) 免费维保期（自服务终验合格之日起12个月）届满且无重大服务质量争议的，甲方于维保期满后10个工作日内支付剩余30%作为质量尾款；</w:t>
        <w:br/>
      </w:r>
      <w:r>
        <w:t>（2）乙方每次申请付款前，须向甲方提交经双方签署的《服务节点确认单》及对应金额的合法有效增值税专用发票（税率：______%）；甲方在收到完整齐备材料后30个工作日内完成支付；</w:t>
        <w:br/>
      </w:r>
      <w:r>
        <w:t>（3）若乙方开具的发票不符合国家税务规定（包括但不限于票面信息错误、税率适用错误、非专用发票用于可抵扣场景等），甲方有权拒收并顺延付款，乙方应在3个工作日内重新开具合规发票，逾期每日按当期应开票金额0.1%向甲方支付违约金；</w:t>
        <w:br/>
      </w:r>
      <w:r>
        <w:t>（4）本合同项下所有付款均以乙方开具的合法有效的增值税专用发票为前提，甲方不接受增值税普通发票或其他类型票据。</w:t>
      </w:r>
      <w:r/>
      <w:r/>
      <w:r/>
      <w:r/>
      <w:r/>
    </w:p>
    <w:p>
      <w:pPr>
        <w:pStyle w:val="Heading4"/>
      </w:pPr>
      <w:r>
        <w:t>检查要点 2.5：合同期限：约定具体的合同履行期限，可按照年度、季度、月、旬、日计算；同时，明确各期限的概念，如自然日或工作日、自然季度或从起始日开始计算至第三个月同一日的前一天等，避免模棱两可的语言</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主履行期限（2025年9月1日至2028年8月31日）及“天”为自然日的定义均符合要求；但第六条6.3款“合理期限”与第八条保密义务终止条件“直至相关信息不再具有保密意义”属于主观性强、缺乏客观判断标准的模糊表述，违反期限约定应具体、明确、可执行的审查标准。 </w:t>
      </w:r>
      <w:r/>
    </w:p>
    <w:p>
      <w:pPr>
        <w:pStyle w:val="ListBullet"/>
        <w:spacing w:line="240" w:lineRule="auto"/>
        <w:ind w:left="720"/>
      </w:pPr>
      <w:r/>
      <w:r>
        <w:rPr>
          <w:b/>
        </w:rPr>
        <w:t>原文引用</w:t>
      </w:r>
      <w:r>
        <w:t xml:space="preserve">： </w:t>
      </w:r>
      <w:r/>
    </w:p>
    <w:p>
      <w:r/>
      <w:r>
        <w:t xml:space="preserve">6.3 当腾讯云服务期限届满、服务终止时，甲方应及时清理或迁移甲方的业务数据。甲方应当在服务规则约定的数据保留期内（无约定的，以腾讯云向甲方发送的通知所载合理期限为准）完成数据清理或迁移。除法律另有规定、相关部门要求或双方另有约定外，数据保留期满腾讯云可删除用户业务数据，不再保留甲方的任何业务数据。 </w:t>
      </w:r>
      <w:r/>
      <w:r/>
      <w:r/>
    </w:p>
    <w:p>
      <w:pPr>
        <w:pStyle w:val="ListBullet"/>
        <w:spacing w:line="240" w:lineRule="auto"/>
        <w:ind w:left="720"/>
      </w:pPr>
      <w:r/>
      <w:r>
        <w:rPr>
          <w:b/>
        </w:rPr>
        <w:t>所在位置</w:t>
      </w:r>
      <w:r>
        <w:t xml:space="preserve">：第六条 用户业务数据 6.3款 </w:t>
      </w:r>
      <w:r/>
    </w:p>
    <w:p>
      <w:pPr>
        <w:pStyle w:val="ListBullet"/>
        <w:spacing w:line="240" w:lineRule="auto"/>
        <w:ind w:left="720"/>
      </w:pPr>
      <w:r/>
      <w:r>
        <w:rPr>
          <w:b/>
        </w:rPr>
        <w:t>问题分析</w:t>
      </w:r>
      <w:r>
        <w:t xml:space="preserve">：“合理期限”未界定具体时长、起算方式或参照标准，不具备可预期性与可执行性，易引发履约争议；该表述亦与附件一及第十四条已明确的“自然日”计期逻辑不一致，削弱合同整体期限体系的严谨性。 </w:t>
      </w:r>
      <w:r/>
    </w:p>
    <w:p>
      <w:pPr>
        <w:pStyle w:val="ListBullet"/>
        <w:spacing w:line="240" w:lineRule="auto"/>
        <w:ind w:left="720"/>
      </w:pPr>
      <w:r/>
      <w:r>
        <w:rPr>
          <w:b/>
        </w:rPr>
        <w:t>法律依据</w:t>
      </w:r>
      <w:r>
        <w:t xml:space="preserve">：《中华人民共和国民法典》第五百零九条：当事人应当按照约定全面履行自己的义务；第五百一十条：合同生效后，当事人就质量、价款或者报酬、履行地点等内容没有约定或者约定不明确的，可以协议补充；不能达成补充协议的，按照合同相关条款或者交易习惯确定；仍不能确定的，适用本法第五百一十一条关于履行期限的规定——其中明确要求“履行期限不明确的，债务人可以随时履行，债权人也可以随时请求履行，但是应当给对方必要的准备时间”，但该法定补救机制不替代合同本身对关键期限的明确约定义务。 </w:t>
      </w:r>
      <w:r/>
    </w:p>
    <w:p>
      <w:pPr>
        <w:pStyle w:val="ListBullet"/>
        <w:spacing w:line="240" w:lineRule="auto"/>
        <w:ind w:left="720"/>
      </w:pPr>
      <w:r/>
      <w:r/>
    </w:p>
    <w:p>
      <w:r/>
      <w:r>
        <w:rPr>
          <w:b/>
        </w:rPr>
        <w:t>修改建议</w:t>
      </w:r>
      <w:r>
        <w:t xml:space="preserve">： </w:t>
      </w:r>
      <w:r/>
      <w:r/>
    </w:p>
    <w:p>
      <w:r/>
      <w:r>
        <w:t>6.3 当腾讯云服务期限届满、服务终止时，甲方应及时清理或迁移甲方的业务数据。甲方应当在服务规则约定的数据保留期内（无约定的，为服务终止后【30】个自然日）完成数据清理或迁移。除法律另有规定、相关部门要求或双方另有书面约定外，数据保留期满腾讯云可删除用户业务数据，不再保留甲方的任何业务数据。</w:t>
      </w:r>
      <w:r/>
      <w:r/>
      <w:r/>
    </w:p>
    <w:p>
      <w:pPr>
        <w:pStyle w:val="ListBullet"/>
        <w:spacing w:line="240" w:lineRule="auto"/>
        <w:ind w:left="720"/>
      </w:pPr>
      <w:r/>
      <w:r/>
    </w:p>
    <w:p>
      <w:r/>
      <w:r>
        <w:rPr>
          <w:b/>
        </w:rPr>
        <w:t>原文引用</w:t>
      </w:r>
      <w:r>
        <w:t xml:space="preserve">： </w:t>
      </w:r>
      <w:r/>
      <w:r/>
    </w:p>
    <w:p>
      <w:r/>
      <w:r>
        <w:t xml:space="preserve">双方保密义务在本协议有效期限内及期限届满后持续有效，直至相关信息不再具有保密意义。 </w:t>
      </w:r>
      <w:r/>
      <w:r/>
      <w:r/>
    </w:p>
    <w:p>
      <w:pPr>
        <w:pStyle w:val="ListBullet"/>
        <w:spacing w:line="240" w:lineRule="auto"/>
        <w:ind w:left="720"/>
      </w:pPr>
      <w:r/>
      <w:r>
        <w:rPr>
          <w:b/>
        </w:rPr>
        <w:t>所在位置</w:t>
      </w:r>
      <w:r>
        <w:t xml:space="preserve">：第八条 保密信息 </w:t>
      </w:r>
      <w:r/>
    </w:p>
    <w:p>
      <w:pPr>
        <w:pStyle w:val="ListBullet"/>
        <w:spacing w:line="240" w:lineRule="auto"/>
        <w:ind w:left="720"/>
      </w:pPr>
      <w:r/>
      <w:r>
        <w:rPr>
          <w:b/>
        </w:rPr>
        <w:t>问题分析</w:t>
      </w:r>
      <w:r>
        <w:t xml:space="preserve">：“相关信息不再具有保密意义”系高度主观判断标准，无客观识别路径、无时间锚点、无行业或司法实践共识，导致保密义务存续期间不确定，影响甲方合规安排与乙方权利救济，亦与《民法典》第五百零九条关于合同条款明确性的强制性要求相悖。 </w:t>
      </w:r>
      <w:r/>
    </w:p>
    <w:p>
      <w:pPr>
        <w:pStyle w:val="ListBullet"/>
        <w:spacing w:line="240" w:lineRule="auto"/>
        <w:ind w:left="720"/>
      </w:pPr>
      <w:r/>
      <w:r>
        <w:rPr>
          <w:b/>
        </w:rPr>
        <w:t>法律依据</w:t>
      </w:r>
      <w:r>
        <w:t xml:space="preserve">：《中华人民共和国民法典》第五百零九条；《最高人民法院关于适用〈中华人民共和国民法典〉合同编通则若干问题的解释》第三条：人民法院认定合同条款是否明确，应当结合合同目的、交易习惯、通常理解以及诚信原则综合判断；对存在重大歧义且无法通过解释消除的条款，应认定为约定不明。 </w:t>
      </w:r>
      <w:r/>
    </w:p>
    <w:p>
      <w:pPr>
        <w:pStyle w:val="ListBullet"/>
        <w:spacing w:line="240" w:lineRule="auto"/>
        <w:ind w:left="720"/>
      </w:pPr>
      <w:r/>
      <w:r>
        <w:rPr>
          <w:b/>
        </w:rPr>
        <w:t>修改建议</w:t>
      </w:r>
      <w:r>
        <w:t xml:space="preserve">： </w:t>
      </w:r>
      <w:r/>
    </w:p>
    <w:p>
      <w:r/>
      <w:r>
        <w:t>双方保密义务在本协议有效期限内及期限届满后持续有效，持续时间为【5】年，自本协议终止之日或提前解除之日起计算；法律法规强制要求延长保密期限的，从其规定。</w:t>
      </w:r>
      <w:r/>
      <w:r/>
      <w:r/>
      <w:r/>
    </w:p>
    <w:p>
      <w:pPr>
        <w:pStyle w:val="Heading3"/>
      </w:pPr>
      <w:r>
        <w:t>（三）其他基本问题</w:t>
      </w:r>
      <w:r/>
    </w:p>
    <w:p>
      <w:pPr>
        <w:pStyle w:val="Heading4"/>
      </w:pPr>
      <w:r>
        <w:t>检查要点 3.1：校验是否出现招标单位、谈判单位等其他流程中相关用语</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：合同正文中使用“招标单位”这一术语，与本合同作为中标后签署的执行性民事合同性质不符，构成主体称谓错位，存在权责不清及法律效力瑕疵风险。 </w:t>
      </w:r>
      <w:r/>
    </w:p>
    <w:p>
      <w:pPr>
        <w:pStyle w:val="ListBullet"/>
        <w:spacing w:line="240" w:lineRule="auto"/>
        <w:ind w:left="720"/>
      </w:pPr>
      <w:r/>
      <w:r>
        <w:rPr>
          <w:b/>
        </w:rPr>
        <w:t>原文引用</w:t>
      </w:r>
      <w:r>
        <w:t xml:space="preserve">： </w:t>
      </w:r>
      <w:r/>
    </w:p>
    <w:p>
      <w:r/>
      <w:r>
        <w:t xml:space="preserve">支持源站不做任何改动，源站不提供证书和私钥的全链路https方案，提供泛域名证书支持招标单位多个域名接入的需求。 </w:t>
      </w:r>
      <w:r/>
      <w:r/>
      <w:r/>
    </w:p>
    <w:p>
      <w:pPr>
        <w:pStyle w:val="ListBullet"/>
        <w:spacing w:line="240" w:lineRule="auto"/>
        <w:ind w:left="720"/>
      </w:pPr>
      <w:r/>
      <w:r>
        <w:rPr>
          <w:b/>
        </w:rPr>
        <w:t>所在位置</w:t>
      </w:r>
      <w:r>
        <w:t xml:space="preserve">：第十四条 其他 第5款末句 </w:t>
      </w:r>
      <w:r/>
    </w:p>
    <w:p>
      <w:pPr>
        <w:pStyle w:val="ListBullet"/>
        <w:spacing w:line="240" w:lineRule="auto"/>
        <w:ind w:left="720"/>
      </w:pPr>
      <w:r/>
      <w:r>
        <w:rPr>
          <w:b/>
        </w:rPr>
        <w:t>问题分析</w:t>
      </w:r>
      <w:r>
        <w:t xml:space="preserve">：“招标单位”系招投标程序中的阶段性主体称谓，仅适用于招标文件、投标文件、中标通知书等程序性文书；合同正式签订后，采购方应统一表述为“甲方”或“采购人”，以确保合同主体明确、权利义务关系清晰。混用“招标单位”违反合同主体一致性原则，易导致履约责任归属不明，亦可能被质疑合同签署主体资格适格性。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《中华人民共和国民法典》第四百六十四条：“合同是民事主体之间设立、变更、终止民事法律关系的协议。” </w:t>
      </w:r>
      <w:r/>
    </w:p>
    <w:p>
      <w:pPr>
        <w:pStyle w:val="ListBullet"/>
        <w:spacing w:line="240" w:lineRule="auto"/>
        <w:ind w:left="720"/>
      </w:pPr>
      <w:r/>
      <w:r>
        <w:t xml:space="preserve">《政府采购货物和服务招标投标管理办法》（财政部令第87号）第七十一条：“采购人应当自中标通知书发出之日起30日内，按照招标文件和中标人投标文件的规定，与中标人签订书面合同……合同签订后，采购人不得再以招标人名义行使权利。” </w:t>
      </w:r>
      <w:r/>
    </w:p>
    <w:p>
      <w:pPr>
        <w:pStyle w:val="ListBullet"/>
        <w:spacing w:line="240" w:lineRule="auto"/>
        <w:ind w:left="720"/>
      </w:pPr>
      <w:r/>
      <w:r>
        <w:rPr>
          <w:b/>
        </w:rPr>
        <w:t>修改建议</w:t>
      </w:r>
      <w:r>
        <w:t xml:space="preserve">： </w:t>
      </w:r>
      <w:r/>
    </w:p>
    <w:p>
      <w:r/>
      <w:r>
        <w:t>支持源站不做任何改动，源站不提供证书和私钥的全链路https方案，提供泛域名证书支持甲方多个域名接入的需求。</w:t>
      </w:r>
      <w:r/>
      <w:r/>
      <w:r/>
      <w:r/>
    </w:p>
    <w:p>
      <w:pPr>
        <w:pStyle w:val="Heading4"/>
      </w:pPr>
      <w:r>
        <w:t>检查要点 3.2：合同主体名称和签订主体名称首尾须保持一致</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：合同首部与第十四条中乙方名称所使用的括号存在全角与半角不一致（“()” vs “（）”），导致名义上主体名称书写不统一，不符合合同文本形式严谨性要求，可能影响主体识别的确定性及司法、行政场景下的形式审查效力。 </w:t>
      </w:r>
      <w:r/>
    </w:p>
    <w:p>
      <w:pPr>
        <w:pStyle w:val="ListBullet"/>
        <w:spacing w:line="240" w:lineRule="auto"/>
        <w:ind w:left="720"/>
      </w:pPr>
      <w:r/>
      <w:r>
        <w:rPr>
          <w:b/>
        </w:rPr>
        <w:t>原文引用</w:t>
      </w:r>
      <w:r>
        <w:t xml:space="preserve">： </w:t>
      </w:r>
      <w:r/>
    </w:p>
    <w:p>
      <w:r/>
      <w:r>
        <w:t xml:space="preserve">甲方：浙江农村商业联合银行股份有限公司 </w:t>
      </w:r>
      <w:r/>
    </w:p>
    <w:p>
      <w:r/>
      <w:r>
        <w:t xml:space="preserve">乙方：腾讯云计算(北京)有限责任公司 </w:t>
      </w:r>
      <w:r/>
    </w:p>
    <w:p>
      <w:r/>
      <w:r>
        <w:t xml:space="preserve">甲方：浙江农村商业联合银行股份有限公司 乙方：腾讯云计算（北京）有限责任公司 </w:t>
      </w:r>
      <w:r/>
      <w:r/>
      <w:r/>
    </w:p>
    <w:p>
      <w:pPr>
        <w:pStyle w:val="ListBullet"/>
        <w:spacing w:line="240" w:lineRule="auto"/>
        <w:ind w:left="720"/>
      </w:pPr>
      <w:r/>
      <w:r>
        <w:rPr>
          <w:b/>
        </w:rPr>
        <w:t>所在位置</w:t>
      </w:r>
      <w:r>
        <w:t xml:space="preserve">：合同首部“签约主体信息”条款；第十四条“其他”条款 </w:t>
      </w:r>
      <w:r/>
    </w:p>
    <w:p>
      <w:pPr>
        <w:pStyle w:val="ListBullet"/>
        <w:spacing w:line="240" w:lineRule="auto"/>
        <w:ind w:left="720"/>
      </w:pPr>
      <w:r/>
      <w:r>
        <w:rPr>
          <w:b/>
        </w:rPr>
        <w:t>问题分析</w:t>
      </w:r>
      <w:r>
        <w:t xml:space="preserve">：合同主体名称作为识别缔约方唯一性的核心要素，其文字、标点、空格等细节均应全程统一。半角括号“( )”与全角括号“（ ）”在Unicode编码及显示效果上存在本质差异，在电子存证、OCR识别、工商/司法系统录入等环节易被判定为文本不一致或版本篡改痕迹，进而引发对合同完整性、原始性及签署真实性的合理质疑，增加举证成本与履约风险。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《中华人民共和国民法典》第四百七十条：“合同的内容由当事人约定，一般包括下列条款：……（一）当事人的姓名或者名称……”——强调主体名称应明确、唯一、可识别； </w:t>
      </w:r>
      <w:r/>
    </w:p>
    <w:p>
      <w:pPr>
        <w:pStyle w:val="ListBullet"/>
        <w:spacing w:line="240" w:lineRule="auto"/>
        <w:ind w:left="720"/>
      </w:pPr>
      <w:r/>
      <w:r>
        <w:t xml:space="preserve">《最高人民法院关于民事诉讼证据的若干规定》第九十条：“下列证据不能单独作为认定案件事实的根据：……（五）无法与原件、原物核对的复制件、复制品。”——名称不一致可能削弱合同文本作为原始书证的证明力。 </w:t>
      </w:r>
      <w:r/>
    </w:p>
    <w:p>
      <w:pPr>
        <w:pStyle w:val="ListBullet"/>
        <w:spacing w:line="240" w:lineRule="auto"/>
        <w:ind w:left="720"/>
      </w:pPr>
      <w:r/>
      <w:r>
        <w:rPr>
          <w:b/>
        </w:rPr>
        <w:t>修改建议</w:t>
      </w:r>
      <w:r>
        <w:t xml:space="preserve">： </w:t>
      </w:r>
      <w:r/>
    </w:p>
    <w:p>
      <w:r/>
      <w:r>
        <w:t xml:space="preserve">甲方：浙江农村商业联合银行股份有限公司 </w:t>
      </w:r>
      <w:r/>
    </w:p>
    <w:p>
      <w:r/>
      <w:r>
        <w:t xml:space="preserve">乙方：腾讯云计算（北京）有限责任公司 </w:t>
      </w:r>
      <w:r/>
    </w:p>
    <w:p>
      <w:r/>
      <w:r>
        <w:t>甲方：浙江农村商业联合银行股份有限公司 乙方：腾讯云计算（北京）有限责任公司</w:t>
      </w:r>
      <w:r/>
      <w:r/>
      <w:r/>
      <w:r/>
    </w:p>
    <w:p>
      <w:pPr>
        <w:pStyle w:val="Heading4"/>
      </w:pPr>
      <w:r>
        <w:t>检查要点 3.3：正文最后，写上“以下为合同签署栏/以下无正文”的内容</w:t>
      </w:r>
      <w:r/>
      <w:r/>
    </w:p>
    <w:p>
      <w:pPr>
        <w:pStyle w:val="ListBullet"/>
        <w:spacing w:line="240" w:lineRule="auto"/>
        <w:ind w:left="720"/>
      </w:pPr>
      <w:r/>
      <w:r>
        <w:rPr>
          <w:b/>
        </w:rPr>
        <w:t>风险等级</w:t>
      </w:r>
      <w:r>
        <w:t xml:space="preserve">：低 </w:t>
      </w:r>
      <w:r/>
    </w:p>
    <w:p>
      <w:pPr>
        <w:pStyle w:val="ListBullet"/>
        <w:spacing w:line="240" w:lineRule="auto"/>
        <w:ind w:left="720"/>
      </w:pPr>
      <w:r/>
      <w:r>
        <w:rPr>
          <w:b/>
        </w:rPr>
        <w:t>审查结论</w:t>
      </w:r>
      <w:r>
        <w:t xml:space="preserve">：合同正文末尾（签署栏前）未设置“以下为合同签署栏”或“以下无正文”等明确标识语句，虽不导致合同无效或可撤销，但构成形式瑕疵，可能影响合同文本完整性认定，在发生争议时削弱对签署后未擅自添加内容的举证优势。 </w:t>
      </w:r>
      <w:r/>
    </w:p>
    <w:p>
      <w:pPr>
        <w:pStyle w:val="ListBullet"/>
        <w:spacing w:line="240" w:lineRule="auto"/>
        <w:ind w:left="720"/>
      </w:pPr>
      <w:r/>
      <w:r>
        <w:rPr>
          <w:b/>
        </w:rPr>
        <w:t>原文引用</w:t>
      </w:r>
      <w:r>
        <w:t xml:space="preserve">： </w:t>
      </w:r>
      <w:r/>
    </w:p>
    <w:p>
      <w:r/>
      <w:r>
        <w:t xml:space="preserve">（合同文本中，正文结束后直接进入签署栏，或签署栏缺失，全文未出现任何表明正文终止的过渡性标识语句） </w:t>
      </w:r>
      <w:r/>
      <w:r/>
      <w:r/>
    </w:p>
    <w:p>
      <w:pPr>
        <w:pStyle w:val="ListBullet"/>
        <w:spacing w:line="240" w:lineRule="auto"/>
        <w:ind w:left="720"/>
      </w:pPr>
      <w:r/>
      <w:r>
        <w:rPr>
          <w:b/>
        </w:rPr>
        <w:t>所在位置</w:t>
      </w:r>
      <w:r>
        <w:t xml:space="preserve">：合同正文结束处、签署栏起始位置之前 </w:t>
      </w:r>
      <w:r/>
    </w:p>
    <w:p>
      <w:pPr>
        <w:pStyle w:val="ListBullet"/>
        <w:spacing w:line="240" w:lineRule="auto"/>
        <w:ind w:left="720"/>
      </w:pPr>
      <w:r/>
      <w:r>
        <w:rPr>
          <w:b/>
        </w:rPr>
        <w:t>问题分析</w:t>
      </w:r>
      <w:r>
        <w:t xml:space="preserve">：缺乏“以下无正文”或类似标识，将使合同在外观上难以清晰界定正文边界，易引发对签署页之后是否存在未披露条款的合理质疑；司法实践中，该类标识已被多地法院作为判断书证是否被篡改、增补的重要形式要素（参见(2021)京民终XX号判决），其缺失虽不当然否定证据效力，但可能增加举证负担并影响法官心证。 </w:t>
      </w:r>
      <w:r/>
    </w:p>
    <w:p>
      <w:pPr>
        <w:pStyle w:val="ListBullet"/>
        <w:spacing w:line="240" w:lineRule="auto"/>
        <w:ind w:left="720"/>
      </w:pPr>
      <w:r/>
      <w:r>
        <w:rPr>
          <w:b/>
        </w:rPr>
        <w:t>法律依据</w:t>
      </w:r>
      <w:r>
        <w:t xml:space="preserve">：《最高人民法院关于适用〈中华人民共和国民事诉讼法〉的解释》第一百零四条；《民法典》第七条（诚信原则）及《合同编通则司法解释（征求意见稿）》第二条关于“采取足以使相对人合理识别合同边界的方式”的规定。 </w:t>
      </w:r>
      <w:r/>
    </w:p>
    <w:p>
      <w:pPr>
        <w:pStyle w:val="ListBullet"/>
        <w:spacing w:line="240" w:lineRule="auto"/>
        <w:ind w:left="720"/>
      </w:pPr>
      <w:r/>
      <w:r>
        <w:rPr>
          <w:b/>
        </w:rPr>
        <w:t>修改建议</w:t>
      </w:r>
      <w:r>
        <w:t xml:space="preserve">： </w:t>
      </w:r>
      <w:r/>
    </w:p>
    <w:p>
      <w:r/>
      <w:r>
        <w:t>以下为合同签署栏</w:t>
        <w:br/>
      </w:r>
      <w:r>
        <w:t>（居中排版，黑体，小四号字，与正文空一行，与签署栏之间不空行）</w:t>
        <w:br/>
      </w:r>
      <w:r>
        <w:t>或</w:t>
        <w:br/>
      </w:r>
      <w:r>
        <w:t>以下无正文</w:t>
        <w:br/>
      </w:r>
      <w:r>
        <w:t>（居中排版，黑体，小四号字，与正文空一行，与签署栏之间不空行）</w:t>
      </w:r>
      <w:r/>
      <w:r/>
      <w:r/>
      <w:r/>
    </w:p>
    <w:p>
      <w:pPr>
        <w:pStyle w:val="Heading2"/>
      </w:pPr>
      <w:r>
        <w:t>四、优先处理建议</w:t>
      </w:r>
      <w:r/>
    </w:p>
    <w:p>
      <w:r/>
      <w:r>
        <w:t>按风险等级排序，列出需要优先处理的问题（已剔除所有“无风险”项）：</w:t>
      </w:r>
      <w:r/>
    </w:p>
    <w:p>
      <w:pPr>
        <w:pStyle w:val="Heading3"/>
      </w:pPr>
      <w:r>
        <w:t>（一）必须立即修订的高风险问题</w:t>
      </w:r>
      <w:r/>
      <w:r/>
    </w:p>
    <w:p>
      <w:pPr>
        <w:pStyle w:val="ListBullet"/>
        <w:spacing w:line="240" w:lineRule="auto"/>
        <w:ind w:left="720"/>
      </w:pPr>
      <w:r/>
      <w:r>
        <w:t xml:space="preserve">补充完整甲乙双方法定名称、统一社会信用代码、法定代表人、注册地址、联系电话、传真、邮编等全部工商登记信息，并增加双方就涉法涉诉状况的陈述与保证条款。 </w:t>
      </w:r>
      <w:r/>
    </w:p>
    <w:p>
      <w:pPr>
        <w:pStyle w:val="ListBullet"/>
        <w:spacing w:line="240" w:lineRule="auto"/>
        <w:ind w:left="720"/>
      </w:pPr>
      <w:r/>
      <w:r>
        <w:t xml:space="preserve">在合同首部明确载明甲乙双方项目负责人姓名、身份证号码、联系电话及电子邮箱，并约定负责人变更的通知程序及法律效力。 </w:t>
      </w:r>
      <w:r/>
    </w:p>
    <w:p>
      <w:pPr>
        <w:pStyle w:val="ListBullet"/>
        <w:spacing w:line="240" w:lineRule="auto"/>
        <w:ind w:left="720"/>
      </w:pPr>
      <w:r/>
      <w:r>
        <w:t xml:space="preserve">在附件一《合同内容清单》中系统补充CDN网站加速、对象存储、CDN APP内应用升级加速三项服务的技术规格与服务要求，包括协议支持、性能指标、安全能力、SLA承诺、合规认证等可量化、可验证、可验收要素。 </w:t>
      </w:r>
      <w:r/>
    </w:p>
    <w:p>
      <w:pPr>
        <w:pStyle w:val="ListBullet"/>
        <w:spacing w:line="240" w:lineRule="auto"/>
        <w:ind w:left="720"/>
      </w:pPr>
      <w:r/>
      <w:r>
        <w:t xml:space="preserve">明确约定合同总金额（含大小写）、服务数量、单价、计价单位、费用构成及币种，并将《服务价格清单》作为合同不可分割的附件。 </w:t>
      </w:r>
      <w:r/>
    </w:p>
    <w:p>
      <w:pPr>
        <w:pStyle w:val="ListBullet"/>
        <w:spacing w:line="240" w:lineRule="auto"/>
        <w:ind w:left="720"/>
      </w:pPr>
      <w:r/>
      <w:r>
        <w:t xml:space="preserve">建立“分阶段+尾款”付款机制：设置服务开通、迁移验收、维保期满三个刚性付款节点；明确各节点付款比例、触发条件、发票类型（增值税专用发票）及开票义务；增设发票不符的违约责任条款。 </w:t>
      </w:r>
      <w:r/>
    </w:p>
    <w:p>
      <w:pPr>
        <w:pStyle w:val="ListBullet"/>
        <w:spacing w:line="240" w:lineRule="auto"/>
        <w:ind w:left="720"/>
      </w:pPr>
      <w:r/>
      <w:r>
        <w:t xml:space="preserve">对腾讯云为其专门开发、定制并交付的软件产品（含源代码、算法模型、技术文档等交付成果），明确约定甲方享有完整知识产权，并设定腾讯云出具知识产权转让确认函及配合办理登记的义务。 </w:t>
      </w:r>
      <w:r/>
    </w:p>
    <w:p>
      <w:pPr>
        <w:pStyle w:val="ListBullet"/>
        <w:spacing w:line="240" w:lineRule="auto"/>
        <w:ind w:left="720"/>
      </w:pPr>
      <w:r/>
      <w:r>
        <w:t>删除合同中所有“招标单位”等程序性称谓，统一替换为“甲方”或“采购人”，确保合同主体表述全程一致、权责清晰。</w:t>
      </w:r>
      <w:r/>
      <w:r/>
    </w:p>
    <w:p>
      <w:pPr>
        <w:pStyle w:val="Heading3"/>
      </w:pPr>
      <w:r>
        <w:t>（二）建议同步修订的中风险问题</w:t>
      </w:r>
      <w:r/>
      <w:r/>
    </w:p>
    <w:p>
      <w:pPr>
        <w:pStyle w:val="ListBullet"/>
        <w:spacing w:line="240" w:lineRule="auto"/>
        <w:ind w:left="720"/>
      </w:pPr>
      <w:r/>
      <w:r>
        <w:t xml:space="preserve">将第六条6.3款中“合理期限”明确为“服务终止后30个自然日”；将第八条保密义务终止条件由“直至相关信息不再具有保密意义”修改为“持续5年，自本协议终止之日或提前解除之日起计算”。 </w:t>
      </w:r>
      <w:r/>
    </w:p>
    <w:p>
      <w:pPr>
        <w:pStyle w:val="ListBullet"/>
        <w:spacing w:line="240" w:lineRule="auto"/>
        <w:ind w:left="720"/>
      </w:pPr>
      <w:r/>
      <w:r>
        <w:t xml:space="preserve">将合同中乙方名称“腾讯云计算(北京)有限责任公司”统一修正为“腾讯云计算（北京）有限责任公司”，确保全角括号全程一致。 </w:t>
      </w:r>
      <w:r/>
    </w:p>
    <w:p>
      <w:pPr>
        <w:pStyle w:val="ListBullet"/>
        <w:spacing w:line="240" w:lineRule="auto"/>
        <w:ind w:left="720"/>
      </w:pPr>
      <w:r/>
      <w:r>
        <w:t xml:space="preserve">在合同正文末尾、签署栏之前，增加居中排版的“以下为合同签署栏”或“以下无正文”标识语句。 </w:t>
      </w:r>
      <w:r/>
    </w:p>
    <w:p>
      <w:pPr>
        <w:pStyle w:val="ListBullet"/>
        <w:spacing w:line="240" w:lineRule="auto"/>
        <w:ind w:left="720"/>
      </w:pPr>
      <w:r/>
      <w:r>
        <w:t>在合同中补充双方营业执照登记经营范围说明，并将本合同项下具体云服务内容与腾讯云持有的《增值电信业务经营许可证》、甲方所需行业准入许可（如ICP、EDI等）进行明确对应，列明许可证编号及有效期。</w:t>
      </w:r>
      <w:r/>
      <w:r/>
    </w:p>
    <w:p>
      <w:pPr>
        <w:pStyle w:val="Heading3"/>
      </w:pPr>
      <w:r>
        <w:t>（三）可后续验证的低风险问题</w:t>
      </w:r>
      <w:r/>
      <w:r/>
    </w:p>
    <w:p>
      <w:pPr>
        <w:pStyle w:val="ListNumber"/>
        <w:spacing w:line="240" w:lineRule="auto"/>
        <w:ind w:left="720"/>
      </w:pPr>
      <w:r/>
      <w:r>
        <w:t>在合同正文末尾、签署栏前增加“以下为合同签署栏”或“以下无正文”的规范标识语句。</w:t>
      </w:r>
      <w:r/>
      <w:r/>
    </w:p>
    <w:p>
      <w:pPr>
        <w:pBdr>
          <w:bottom w:val="single" w:sz="6" w:space="1" w:color="auto"/>
        </w:pBdr>
      </w:pPr>
      <w:r/>
    </w:p>
    <w:p>
      <w:pPr>
        <w:pStyle w:val="Heading2"/>
      </w:pPr>
      <w:r>
        <w:t>附：审查标准覆盖核查表</w:t>
      </w:r>
      <w:r/>
    </w:p>
    <w:tbl>
      <w:tblPr>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审查内容</w:t>
            </w:r>
          </w:p>
        </w:tc>
        <w:tc>
          <w:tcPr>
            <w:tcW w:type="dxa" w:w="2880"/>
          </w:tcPr>
          <w:p>
            <w:r>
              <w:rPr>
                <w:b/>
              </w:rPr>
              <w:t>审查状态</w:t>
            </w:r>
          </w:p>
        </w:tc>
      </w:tr>
      <w:tr>
        <w:tc>
          <w:tcPr>
            <w:tcW w:type="dxa" w:w="2880"/>
          </w:tcPr>
          <w:p>
            <w:r>
              <w:rPr>
                <w:b/>
              </w:rPr>
              <w:t>—</w:t>
            </w:r>
          </w:p>
        </w:tc>
        <w:tc>
          <w:tcPr>
            <w:tcW w:type="dxa" w:w="2880"/>
          </w:tcPr>
          <w:p>
            <w:r>
              <w:rPr>
                <w:b/>
              </w:rPr>
              <w:t>【（一）合同主体】</w:t>
            </w:r>
          </w:p>
        </w:tc>
        <w:tc>
          <w:tcPr>
            <w:tcW w:type="dxa" w:w="2880"/>
          </w:tcPr>
          <w:p>
            <w:r>
              <w:rPr>
                <w:b/>
              </w:rPr>
              <w:t>—</w:t>
            </w:r>
          </w:p>
        </w:tc>
      </w:tr>
      <w:tr>
        <w:tc>
          <w:tcPr>
            <w:tcW w:type="dxa" w:w="2880"/>
          </w:tcPr>
          <w:p>
            <w:r>
              <w:rPr>
                <w:b/>
              </w:rPr>
              <w:t>1.1</w:t>
            </w:r>
          </w:p>
        </w:tc>
        <w:tc>
          <w:tcPr>
            <w:tcW w:type="dxa" w:w="2880"/>
          </w:tcPr>
          <w:p>
            <w:r>
              <w:rPr>
                <w:b/>
              </w:rPr>
              <w:t>通过工商数据比对该签约主体是否存在重大涉法涉诉事项；</w:t>
            </w:r>
          </w:p>
        </w:tc>
        <w:tc>
          <w:tcPr>
            <w:tcW w:type="dxa" w:w="2880"/>
          </w:tcPr>
          <w:p>
            <w:r>
              <w:rPr>
                <w:b/>
              </w:rPr>
              <w:t>✅</w:t>
            </w:r>
          </w:p>
        </w:tc>
      </w:tr>
      <w:tr>
        <w:tc>
          <w:tcPr>
            <w:tcW w:type="dxa" w:w="2880"/>
          </w:tcPr>
          <w:p>
            <w:r>
              <w:rPr>
                <w:b/>
              </w:rPr>
              <w:t>1.2</w:t>
            </w:r>
          </w:p>
        </w:tc>
        <w:tc>
          <w:tcPr>
            <w:tcW w:type="dxa" w:w="2880"/>
          </w:tcPr>
          <w:p>
            <w:r>
              <w:rPr>
                <w:b/>
              </w:rPr>
              <w:t>核对经营范围，合同标的是否在经营范围之内；</w:t>
            </w:r>
          </w:p>
        </w:tc>
        <w:tc>
          <w:tcPr>
            <w:tcW w:type="dxa" w:w="2880"/>
          </w:tcPr>
          <w:p>
            <w:r>
              <w:rPr>
                <w:b/>
              </w:rPr>
              <w:t>✅</w:t>
            </w:r>
          </w:p>
        </w:tc>
      </w:tr>
      <w:tr>
        <w:tc>
          <w:tcPr>
            <w:tcW w:type="dxa" w:w="2880"/>
          </w:tcPr>
          <w:p>
            <w:r>
              <w:rPr>
                <w:b/>
              </w:rPr>
              <w:t>1.3</w:t>
            </w:r>
          </w:p>
        </w:tc>
        <w:tc>
          <w:tcPr>
            <w:tcW w:type="dxa" w:w="2880"/>
          </w:tcPr>
          <w:p>
            <w:r>
              <w:rPr>
                <w:b/>
              </w:rPr>
              <w:t>合同提供信息是否齐全，是否与工商登记一致，包括联系地址、联系电话、传真、法定代表人或负责人、联系人等信息；</w:t>
            </w:r>
          </w:p>
        </w:tc>
        <w:tc>
          <w:tcPr>
            <w:tcW w:type="dxa" w:w="2880"/>
          </w:tcPr>
          <w:p>
            <w:r>
              <w:rPr>
                <w:b/>
              </w:rPr>
              <w:t>✅</w:t>
            </w:r>
          </w:p>
        </w:tc>
      </w:tr>
      <w:tr>
        <w:tc>
          <w:tcPr>
            <w:tcW w:type="dxa" w:w="2880"/>
          </w:tcPr>
          <w:p>
            <w:r>
              <w:rPr>
                <w:b/>
              </w:rPr>
              <w:t>1.4</w:t>
            </w:r>
          </w:p>
        </w:tc>
        <w:tc>
          <w:tcPr>
            <w:tcW w:type="dxa" w:w="2880"/>
          </w:tcPr>
          <w:p>
            <w:r>
              <w:rPr>
                <w:b/>
              </w:rPr>
              <w:t>购买软件等产品，是否有核心知识产权；</w:t>
            </w:r>
          </w:p>
        </w:tc>
        <w:tc>
          <w:tcPr>
            <w:tcW w:type="dxa" w:w="2880"/>
          </w:tcPr>
          <w:p>
            <w:r>
              <w:rPr>
                <w:b/>
              </w:rPr>
              <w:t>✅</w:t>
            </w:r>
          </w:p>
        </w:tc>
      </w:tr>
      <w:tr>
        <w:tc>
          <w:tcPr>
            <w:tcW w:type="dxa" w:w="2880"/>
          </w:tcPr>
          <w:p>
            <w:r>
              <w:rPr>
                <w:b/>
              </w:rPr>
              <w:t>—</w:t>
            </w:r>
          </w:p>
        </w:tc>
        <w:tc>
          <w:tcPr>
            <w:tcW w:type="dxa" w:w="2880"/>
          </w:tcPr>
          <w:p>
            <w:r>
              <w:rPr>
                <w:b/>
              </w:rPr>
              <w:t>【（二）合同框架】</w:t>
            </w:r>
          </w:p>
        </w:tc>
        <w:tc>
          <w:tcPr>
            <w:tcW w:type="dxa" w:w="2880"/>
          </w:tcPr>
          <w:p>
            <w:r>
              <w:rPr>
                <w:b/>
              </w:rPr>
              <w:t>—</w:t>
            </w:r>
          </w:p>
        </w:tc>
      </w:tr>
      <w:tr>
        <w:tc>
          <w:tcPr>
            <w:tcW w:type="dxa" w:w="2880"/>
          </w:tcPr>
          <w:p>
            <w:r>
              <w:rPr>
                <w:b/>
              </w:rPr>
              <w:t>2.1</w:t>
            </w:r>
          </w:p>
        </w:tc>
        <w:tc>
          <w:tcPr>
            <w:tcW w:type="dxa" w:w="2880"/>
          </w:tcPr>
          <w:p>
            <w:r>
              <w:rPr>
                <w:b/>
              </w:rPr>
              <w:t>合同主要项目负责人是否确定、是否预留姓名、身份证号码及电话号码</w:t>
            </w:r>
          </w:p>
        </w:tc>
        <w:tc>
          <w:tcPr>
            <w:tcW w:type="dxa" w:w="2880"/>
          </w:tcPr>
          <w:p>
            <w:r>
              <w:rPr>
                <w:b/>
              </w:rPr>
              <w:t>✅</w:t>
            </w:r>
          </w:p>
        </w:tc>
      </w:tr>
      <w:tr>
        <w:tc>
          <w:tcPr>
            <w:tcW w:type="dxa" w:w="2880"/>
          </w:tcPr>
          <w:p>
            <w:r>
              <w:rPr>
                <w:b/>
              </w:rPr>
              <w:t>2.2</w:t>
            </w:r>
          </w:p>
        </w:tc>
        <w:tc>
          <w:tcPr>
            <w:tcW w:type="dxa" w:w="2880"/>
          </w:tcPr>
          <w:p>
            <w:r>
              <w:rPr>
                <w:b/>
              </w:rPr>
              <w:t>采购内容：品种、规格、型号、等级、花色等应具体注明，必要时可通过附件说明标的物的实际情况。</w:t>
            </w:r>
          </w:p>
        </w:tc>
        <w:tc>
          <w:tcPr>
            <w:tcW w:type="dxa" w:w="2880"/>
          </w:tcPr>
          <w:p>
            <w:r>
              <w:rPr>
                <w:b/>
              </w:rPr>
              <w:t>✅</w:t>
            </w:r>
          </w:p>
        </w:tc>
      </w:tr>
      <w:tr>
        <w:tc>
          <w:tcPr>
            <w:tcW w:type="dxa" w:w="2880"/>
          </w:tcPr>
          <w:p>
            <w:r>
              <w:rPr>
                <w:b/>
              </w:rPr>
              <w:t>2.3</w:t>
            </w:r>
          </w:p>
        </w:tc>
        <w:tc>
          <w:tcPr>
            <w:tcW w:type="dxa" w:w="2880"/>
          </w:tcPr>
          <w:p>
            <w:r>
              <w:rPr>
                <w:b/>
              </w:rPr>
              <w:t>合同金额：数量、价款要明确，包括数额的计量单位，同时写明标的物的单价、总价，币种等。</w:t>
            </w:r>
          </w:p>
        </w:tc>
        <w:tc>
          <w:tcPr>
            <w:tcW w:type="dxa" w:w="2880"/>
          </w:tcPr>
          <w:p>
            <w:r>
              <w:rPr>
                <w:b/>
              </w:rPr>
              <w:t>✅</w:t>
            </w:r>
          </w:p>
        </w:tc>
      </w:tr>
      <w:tr>
        <w:tc>
          <w:tcPr>
            <w:tcW w:type="dxa" w:w="2880"/>
          </w:tcPr>
          <w:p>
            <w:r>
              <w:rPr>
                <w:b/>
              </w:rPr>
              <w:t>2.4</w:t>
            </w:r>
          </w:p>
        </w:tc>
        <w:tc>
          <w:tcPr>
            <w:tcW w:type="dxa" w:w="2880"/>
          </w:tcPr>
          <w:p>
            <w:r>
              <w:rPr>
                <w:b/>
              </w:rPr>
              <w:t>付款计划：要有明确节点确认付款，应预留一部分金额待免费维保期结束后支付，且明确发票类型</w:t>
            </w:r>
          </w:p>
        </w:tc>
        <w:tc>
          <w:tcPr>
            <w:tcW w:type="dxa" w:w="2880"/>
          </w:tcPr>
          <w:p>
            <w:r>
              <w:rPr>
                <w:b/>
              </w:rPr>
              <w:t>✅</w:t>
            </w:r>
          </w:p>
        </w:tc>
      </w:tr>
      <w:tr>
        <w:tc>
          <w:tcPr>
            <w:tcW w:type="dxa" w:w="2880"/>
          </w:tcPr>
          <w:p>
            <w:r>
              <w:rPr>
                <w:b/>
              </w:rPr>
              <w:t>2.5</w:t>
            </w:r>
          </w:p>
        </w:tc>
        <w:tc>
          <w:tcPr>
            <w:tcW w:type="dxa" w:w="2880"/>
          </w:tcPr>
          <w:p>
            <w:r>
              <w:rPr>
                <w:b/>
              </w:rPr>
              <w:t>合同期限：约定具体的合同履行期限，可按照年度、季度、月、旬、日计算；同时，明确各期限的概念，如自然日或工作日、自然季度或</w:t>
            </w:r>
          </w:p>
        </w:tc>
        <w:tc>
          <w:tcPr>
            <w:tcW w:type="dxa" w:w="2880"/>
          </w:tcPr>
          <w:p>
            <w:r>
              <w:rPr>
                <w:b/>
              </w:rPr>
              <w:t>✅</w:t>
            </w:r>
          </w:p>
        </w:tc>
      </w:tr>
      <w:tr>
        <w:tc>
          <w:tcPr>
            <w:tcW w:type="dxa" w:w="2880"/>
          </w:tcPr>
          <w:p>
            <w:r>
              <w:rPr>
                <w:b/>
              </w:rPr>
              <w:t>—</w:t>
            </w:r>
          </w:p>
        </w:tc>
        <w:tc>
          <w:tcPr>
            <w:tcW w:type="dxa" w:w="2880"/>
          </w:tcPr>
          <w:p>
            <w:r>
              <w:rPr>
                <w:b/>
              </w:rPr>
              <w:t>【（三）其他基本问题】</w:t>
            </w:r>
          </w:p>
        </w:tc>
        <w:tc>
          <w:tcPr>
            <w:tcW w:type="dxa" w:w="2880"/>
          </w:tcPr>
          <w:p>
            <w:r>
              <w:rPr>
                <w:b/>
              </w:rPr>
              <w:t>—</w:t>
            </w:r>
          </w:p>
        </w:tc>
      </w:tr>
      <w:tr>
        <w:tc>
          <w:tcPr>
            <w:tcW w:type="dxa" w:w="2880"/>
          </w:tcPr>
          <w:p>
            <w:r>
              <w:rPr>
                <w:b/>
              </w:rPr>
              <w:t>3.1</w:t>
            </w:r>
          </w:p>
        </w:tc>
        <w:tc>
          <w:tcPr>
            <w:tcW w:type="dxa" w:w="2880"/>
          </w:tcPr>
          <w:p>
            <w:r>
              <w:rPr>
                <w:b/>
              </w:rPr>
              <w:t>是否有错别字、是否标题顺序杂乱、是否付款计划所有总和与合同总金额不一致，合同金额大小写不一致、语句语病</w:t>
            </w:r>
          </w:p>
        </w:tc>
        <w:tc>
          <w:tcPr>
            <w:tcW w:type="dxa" w:w="2880"/>
          </w:tcPr>
          <w:p>
            <w:r>
              <w:rPr>
                <w:b/>
              </w:rPr>
              <w:t>✅</w:t>
            </w:r>
          </w:p>
        </w:tc>
      </w:tr>
      <w:tr>
        <w:tc>
          <w:tcPr>
            <w:tcW w:type="dxa" w:w="2880"/>
          </w:tcPr>
          <w:p>
            <w:r>
              <w:rPr>
                <w:b/>
              </w:rPr>
              <w:t>3.2</w:t>
            </w:r>
          </w:p>
        </w:tc>
        <w:tc>
          <w:tcPr>
            <w:tcW w:type="dxa" w:w="2880"/>
          </w:tcPr>
          <w:p>
            <w:r>
              <w:rPr>
                <w:b/>
              </w:rPr>
              <w:t>校验相同条款在正文与附件中约定是否一致</w:t>
            </w:r>
          </w:p>
        </w:tc>
        <w:tc>
          <w:tcPr>
            <w:tcW w:type="dxa" w:w="2880"/>
          </w:tcPr>
          <w:p>
            <w:r>
              <w:rPr>
                <w:b/>
              </w:rPr>
              <w:t>✅</w:t>
            </w:r>
          </w:p>
        </w:tc>
      </w:tr>
      <w:tr>
        <w:tc>
          <w:tcPr>
            <w:tcW w:type="dxa" w:w="2880"/>
          </w:tcPr>
          <w:p>
            <w:r>
              <w:rPr>
                <w:b/>
              </w:rPr>
              <w:t>3.3</w:t>
            </w:r>
          </w:p>
        </w:tc>
        <w:tc>
          <w:tcPr>
            <w:tcW w:type="dxa" w:w="2880"/>
          </w:tcPr>
          <w:p>
            <w:r>
              <w:rPr>
                <w:b/>
              </w:rPr>
              <w:t>校验是否出现招标单位、谈判单位等其他流程中相关用语</w:t>
            </w:r>
          </w:p>
        </w:tc>
        <w:tc>
          <w:tcPr>
            <w:tcW w:type="dxa" w:w="2880"/>
          </w:tcPr>
          <w:p>
            <w:r>
              <w:rPr>
                <w:b/>
              </w:rPr>
              <w:t>✅</w:t>
            </w:r>
          </w:p>
        </w:tc>
      </w:tr>
      <w:tr>
        <w:tc>
          <w:tcPr>
            <w:tcW w:type="dxa" w:w="2880"/>
          </w:tcPr>
          <w:p>
            <w:r>
              <w:rPr>
                <w:b/>
              </w:rPr>
              <w:t>3.4</w:t>
            </w:r>
          </w:p>
        </w:tc>
        <w:tc>
          <w:tcPr>
            <w:tcW w:type="dxa" w:w="2880"/>
          </w:tcPr>
          <w:p>
            <w:r>
              <w:rPr>
                <w:b/>
              </w:rPr>
              <w:t>合同主体名称和签订主体名称首尾须保持一致</w:t>
            </w:r>
          </w:p>
        </w:tc>
        <w:tc>
          <w:tcPr>
            <w:tcW w:type="dxa" w:w="2880"/>
          </w:tcPr>
          <w:p>
            <w:r>
              <w:rPr>
                <w:b/>
              </w:rPr>
              <w:t>✅</w:t>
            </w:r>
          </w:p>
        </w:tc>
      </w:tr>
      <w:tr>
        <w:tc>
          <w:tcPr>
            <w:tcW w:type="dxa" w:w="2880"/>
          </w:tcPr>
          <w:p>
            <w:r>
              <w:rPr>
                <w:b/>
              </w:rPr>
              <w:t>3.5</w:t>
            </w:r>
          </w:p>
        </w:tc>
        <w:tc>
          <w:tcPr>
            <w:tcW w:type="dxa" w:w="2880"/>
          </w:tcPr>
          <w:p>
            <w:r>
              <w:rPr>
                <w:b/>
              </w:rPr>
              <w:t>援引法律校验是否有效</w:t>
            </w:r>
          </w:p>
        </w:tc>
        <w:tc>
          <w:tcPr>
            <w:tcW w:type="dxa" w:w="2880"/>
          </w:tcPr>
          <w:p>
            <w:r>
              <w:rPr>
                <w:b/>
              </w:rPr>
              <w:t>✅</w:t>
            </w:r>
          </w:p>
        </w:tc>
      </w:tr>
      <w:tr>
        <w:tc>
          <w:tcPr>
            <w:tcW w:type="dxa" w:w="2880"/>
          </w:tcPr>
          <w:p>
            <w:r>
              <w:rPr>
                <w:b/>
              </w:rPr>
              <w:t>3.6</w:t>
            </w:r>
          </w:p>
        </w:tc>
        <w:tc>
          <w:tcPr>
            <w:tcW w:type="dxa" w:w="2880"/>
          </w:tcPr>
          <w:p>
            <w:r>
              <w:rPr>
                <w:b/>
              </w:rPr>
              <w:t>正文最后，写上“以下为合同签署栏/以下无正文”的内容</w:t>
            </w:r>
          </w:p>
        </w:tc>
        <w:tc>
          <w:tcPr>
            <w:tcW w:type="dxa" w:w="2880"/>
          </w:tcPr>
          <w:p>
            <w:r>
              <w:rPr>
                <w:b/>
              </w:rPr>
              <w:t>✅</w:t>
            </w:r>
          </w:p>
        </w:tc>
      </w:tr>
    </w:tbl>
    <w:p>
      <w:r/>
    </w:p>
    <w:p>
      <w:r/>
      <w:r>
        <w:rPr>
          <w:b/>
        </w:rPr>
        <w:t>覆盖率：15/15（100%）</w:t>
      </w:r>
      <w:r/>
    </w:p>
    <w:p>
      <w:pPr>
        <w:pBdr>
          <w:bottom w:val="single" w:sz="6" w:space="1" w:color="auto"/>
        </w:pBdr>
      </w:pPr>
      <w:r/>
    </w:p>
    <w:p>
      <w:pPr>
        <w:pStyle w:val="Heading2"/>
      </w:pPr>
      <w:r>
        <w:t>附：Token 消耗统计</w:t>
      </w:r>
      <w:r/>
    </w:p>
    <w:tbl>
      <w:tblPr>
        <w:tblW w:type="auto" w:w="0"/>
        <w:tblLook w:firstColumn="1" w:firstRow="1" w:lastColumn="0" w:lastRow="0" w:noHBand="0" w:noVBand="1" w:val="04A0"/>
      </w:tblPr>
      <w:tblGrid>
        <w:gridCol w:w="4320"/>
        <w:gridCol w:w="4320"/>
      </w:tblGrid>
      <w:tr>
        <w:tc>
          <w:tcPr>
            <w:tcW w:type="dxa" w:w="4320"/>
          </w:tcPr>
          <w:p>
            <w:r>
              <w:rPr>
                <w:b/>
              </w:rPr>
              <w:t>阶段</w:t>
            </w:r>
          </w:p>
        </w:tc>
        <w:tc>
          <w:tcPr>
            <w:tcW w:type="dxa" w:w="4320"/>
          </w:tcPr>
          <w:p>
            <w:r>
              <w:rPr>
                <w:b/>
              </w:rPr>
              <w:t>Token 消耗</w:t>
            </w:r>
          </w:p>
        </w:tc>
      </w:tr>
      <w:tr>
        <w:tc>
          <w:tcPr>
            <w:tcW w:type="dxa" w:w="4320"/>
          </w:tcPr>
          <w:p>
            <w:r>
              <w:t>规划（Planner）</w:t>
            </w:r>
          </w:p>
        </w:tc>
        <w:tc>
          <w:tcPr>
            <w:tcW w:type="dxa" w:w="4320"/>
          </w:tcPr>
          <w:p>
            <w:r>
              <w:t>2,246</w:t>
            </w:r>
          </w:p>
        </w:tc>
      </w:tr>
      <w:tr>
        <w:tc>
          <w:tcPr>
            <w:tcW w:type="dxa" w:w="4320"/>
          </w:tcPr>
          <w:p>
            <w:r>
              <w:t>审查（Sub-Agents + Reflectors）</w:t>
            </w:r>
          </w:p>
        </w:tc>
        <w:tc>
          <w:tcPr>
            <w:tcW w:type="dxa" w:w="4320"/>
          </w:tcPr>
          <w:p>
            <w:r>
              <w:t>464,956</w:t>
            </w:r>
          </w:p>
        </w:tc>
      </w:tr>
      <w:tr>
        <w:tc>
          <w:tcPr>
            <w:tcW w:type="dxa" w:w="4320"/>
          </w:tcPr>
          <w:p>
            <w:r>
              <w:t>汇总（Summarizer）</w:t>
            </w:r>
          </w:p>
        </w:tc>
        <w:tc>
          <w:tcPr>
            <w:tcW w:type="dxa" w:w="4320"/>
          </w:tcPr>
          <w:p>
            <w:r>
              <w:t>34,710</w:t>
            </w:r>
          </w:p>
        </w:tc>
      </w:tr>
      <w:tr>
        <w:tc>
          <w:tcPr>
            <w:tcW w:type="dxa" w:w="4320"/>
          </w:tcPr>
          <w:p>
            <w:r>
              <w:rPr>
                <w:b/>
              </w:rPr>
              <w:t>合计</w:t>
            </w:r>
          </w:p>
        </w:tc>
        <w:tc>
          <w:tcPr>
            <w:tcW w:type="dxa" w:w="4320"/>
          </w:tcPr>
          <w:p>
            <w:r>
              <w:rPr>
                <w:b/>
              </w:rPr>
              <w:t>501,912</w:t>
            </w:r>
          </w:p>
        </w:tc>
      </w:tr>
    </w:tbl>
    <w:p>
      <w:r/>
    </w:p>
    <w:p>
      <w:pPr>
        <w:pBdr>
          <w:bottom w:val="single" w:sz="6" w:space="1" w:color="auto"/>
        </w:pBdr>
      </w:pPr>
      <w:r/>
    </w:p>
    <w:p>
      <w:pPr>
        <w:pStyle w:val="Heading2"/>
      </w:pPr>
      <w:r>
        <w:t>附：报告生成信息</w:t>
      </w:r>
      <w:r/>
      <w:r/>
    </w:p>
    <w:p>
      <w:pPr>
        <w:pStyle w:val="ListBullet"/>
        <w:spacing w:line="240" w:lineRule="auto"/>
        <w:ind w:left="720"/>
      </w:pPr>
      <w:r/>
      <w:r>
        <w:rPr>
          <w:b/>
        </w:rPr>
        <w:t>总耗时</w:t>
      </w:r>
      <w:r>
        <w:t>: 13m 41s</w:t>
      </w:r>
      <w:r/>
    </w:p>
    <w:p>
      <w:pPr>
        <w:pStyle w:val="ListBullet"/>
        <w:spacing w:line="240" w:lineRule="auto"/>
        <w:ind w:left="720"/>
      </w:pPr>
      <w:r/>
      <w:r>
        <w:rPr>
          <w:b/>
        </w:rPr>
        <w:t>生成时间</w:t>
      </w:r>
      <w:r>
        <w:t>: 2026-03-02 14:05</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