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发现问题总数：13项 </w:t>
      </w:r>
      <w:r/>
    </w:p>
    <w:p>
      <w:pPr>
        <w:pStyle w:val="ListBullet"/>
        <w:spacing w:line="240" w:lineRule="auto"/>
        <w:ind w:left="720"/>
      </w:pPr>
      <w:r/>
      <w:r>
        <w:t xml:space="preserve">高风险问题数量：7项 </w:t>
      </w:r>
      <w:r/>
    </w:p>
    <w:p>
      <w:pPr>
        <w:pStyle w:val="ListBullet"/>
        <w:spacing w:line="240" w:lineRule="auto"/>
        <w:ind w:left="720"/>
      </w:pPr>
      <w:r/>
      <w:r>
        <w:t xml:space="preserve">中风险问题数量：6项 </w:t>
      </w:r>
      <w:r/>
    </w:p>
    <w:p>
      <w:pPr>
        <w:pStyle w:val="ListBullet"/>
        <w:spacing w:line="240" w:lineRule="auto"/>
        <w:ind w:left="720"/>
      </w:pPr>
      <w:r/>
      <w:r>
        <w:t xml:space="preserve">低风险问题数量：0项 </w:t>
      </w:r>
      <w:r/>
      <w:r/>
      <w:r/>
    </w:p>
    <w:p>
      <w:r/>
      <w:r>
        <w:rPr>
          <w:b/>
        </w:rPr>
        <w:t>说明</w:t>
      </w:r>
      <w:r>
        <w:t>：15项审查标准全部参与审查；其中“检查要点 3.1”出现三次（分别对应不同具体问题），均计入原始标准总数，但问题统计以实际风险事项为单位，共识别出13个独立风险点（7高+6中），无低风险问题。</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（一）合同主体</w:t>
            </w:r>
          </w:p>
        </w:tc>
        <w:tc>
          <w:tcPr>
            <w:tcW w:type="dxa" w:w="1728"/>
          </w:tcPr>
          <w:p>
            <w:r>
              <w:t>签约资格存疑</w:t>
            </w:r>
          </w:p>
        </w:tc>
        <w:tc>
          <w:tcPr>
            <w:tcW w:type="dxa" w:w="1728"/>
          </w:tcPr>
          <w:p>
            <w:r>
              <w:t>甲方存在1110万元重大行政处罚记录，符合严重违法失信情形</w:t>
            </w:r>
          </w:p>
        </w:tc>
        <w:tc>
          <w:tcPr>
            <w:tcW w:type="dxa" w:w="1728"/>
          </w:tcPr>
          <w:p>
            <w:r>
              <w:t>高</w:t>
            </w:r>
          </w:p>
        </w:tc>
      </w:tr>
      <w:tr>
        <w:tc>
          <w:tcPr>
            <w:tcW w:type="dxa" w:w="1728"/>
          </w:tcPr>
          <w:p>
            <w:r>
              <w:t>2</w:t>
            </w:r>
          </w:p>
        </w:tc>
        <w:tc>
          <w:tcPr>
            <w:tcW w:type="dxa" w:w="1728"/>
          </w:tcPr>
          <w:p>
            <w:r>
              <w:t>（一）合同主体</w:t>
            </w:r>
          </w:p>
        </w:tc>
        <w:tc>
          <w:tcPr>
            <w:tcW w:type="dxa" w:w="1728"/>
          </w:tcPr>
          <w:p>
            <w:r>
              <w:t>主体信息缺失与不一致</w:t>
            </w:r>
          </w:p>
        </w:tc>
        <w:tc>
          <w:tcPr>
            <w:tcW w:type="dxa" w:w="1728"/>
          </w:tcPr>
          <w:p>
            <w:r>
              <w:t>甲乙双方均未载明传真及法定代表人信息；甲方联系电话与工商登记不符；乙方联系电话及邮编与工商登记严重不符</w:t>
            </w:r>
          </w:p>
        </w:tc>
        <w:tc>
          <w:tcPr>
            <w:tcW w:type="dxa" w:w="1728"/>
          </w:tcPr>
          <w:p>
            <w:r>
              <w:t>高</w:t>
            </w:r>
          </w:p>
        </w:tc>
      </w:tr>
      <w:tr>
        <w:tc>
          <w:tcPr>
            <w:tcW w:type="dxa" w:w="1728"/>
          </w:tcPr>
          <w:p>
            <w:r>
              <w:t>3</w:t>
            </w:r>
          </w:p>
        </w:tc>
        <w:tc>
          <w:tcPr>
            <w:tcW w:type="dxa" w:w="1728"/>
          </w:tcPr>
          <w:p>
            <w:r>
              <w:t>（一）合同主体</w:t>
            </w:r>
          </w:p>
        </w:tc>
        <w:tc>
          <w:tcPr>
            <w:tcW w:type="dxa" w:w="1728"/>
          </w:tcPr>
          <w:p>
            <w:r>
              <w:t>知识产权权属失衡</w:t>
            </w:r>
          </w:p>
        </w:tc>
        <w:tc>
          <w:tcPr>
            <w:tcW w:type="dxa" w:w="1728"/>
          </w:tcPr>
          <w:p>
            <w:r>
              <w:t>第7.2条单方保留全部服务成果及衍生品知识产权，未区分通用服务与定制开发，实质性剥夺甲方依法可协商取得知识产权的权利</w:t>
            </w:r>
          </w:p>
        </w:tc>
        <w:tc>
          <w:tcPr>
            <w:tcW w:type="dxa" w:w="1728"/>
          </w:tcPr>
          <w:p>
            <w:r>
              <w:t>高</w:t>
            </w:r>
          </w:p>
        </w:tc>
      </w:tr>
      <w:tr>
        <w:tc>
          <w:tcPr>
            <w:tcW w:type="dxa" w:w="1728"/>
          </w:tcPr>
          <w:p>
            <w:r>
              <w:t>4</w:t>
            </w:r>
          </w:p>
        </w:tc>
        <w:tc>
          <w:tcPr>
            <w:tcW w:type="dxa" w:w="1728"/>
          </w:tcPr>
          <w:p>
            <w:r>
              <w:t>（二）合同框架</w:t>
            </w:r>
          </w:p>
        </w:tc>
        <w:tc>
          <w:tcPr>
            <w:tcW w:type="dxa" w:w="1728"/>
          </w:tcPr>
          <w:p>
            <w:r>
              <w:t>项目负责人身份信息不全</w:t>
            </w:r>
          </w:p>
        </w:tc>
        <w:tc>
          <w:tcPr>
            <w:tcW w:type="dxa" w:w="1728"/>
          </w:tcPr>
          <w:p>
            <w:r>
              <w:t>未明确指定“合同主要项目负责人”，亦未提供身份证号码及有效个人联系电话</w:t>
            </w:r>
          </w:p>
        </w:tc>
        <w:tc>
          <w:tcPr>
            <w:tcW w:type="dxa" w:w="1728"/>
          </w:tcPr>
          <w:p>
            <w:r>
              <w:t>中</w:t>
            </w:r>
          </w:p>
        </w:tc>
      </w:tr>
      <w:tr>
        <w:tc>
          <w:tcPr>
            <w:tcW w:type="dxa" w:w="1728"/>
          </w:tcPr>
          <w:p>
            <w:r>
              <w:t>5</w:t>
            </w:r>
          </w:p>
        </w:tc>
        <w:tc>
          <w:tcPr>
            <w:tcW w:type="dxa" w:w="1728"/>
          </w:tcPr>
          <w:p>
            <w:r>
              <w:t>（二）合同框架</w:t>
            </w:r>
          </w:p>
        </w:tc>
        <w:tc>
          <w:tcPr>
            <w:tcW w:type="dxa" w:w="1728"/>
          </w:tcPr>
          <w:p>
            <w:r>
              <w:t>采购内容表述模糊</w:t>
            </w:r>
          </w:p>
        </w:tc>
        <w:tc>
          <w:tcPr>
            <w:tcW w:type="dxa" w:w="1728"/>
          </w:tcPr>
          <w:p>
            <w:r>
              <w:t>未列明服务品种、规格、型号、等级等关键要素，仅以“所需服务”等概括性表述替代，缺乏可执行性</w:t>
            </w:r>
          </w:p>
        </w:tc>
        <w:tc>
          <w:tcPr>
            <w:tcW w:type="dxa" w:w="1728"/>
          </w:tcPr>
          <w:p>
            <w:r>
              <w:t>高</w:t>
            </w:r>
          </w:p>
        </w:tc>
      </w:tr>
      <w:tr>
        <w:tc>
          <w:tcPr>
            <w:tcW w:type="dxa" w:w="1728"/>
          </w:tcPr>
          <w:p>
            <w:r>
              <w:t>6</w:t>
            </w:r>
          </w:p>
        </w:tc>
        <w:tc>
          <w:tcPr>
            <w:tcW w:type="dxa" w:w="1728"/>
          </w:tcPr>
          <w:p>
            <w:r>
              <w:t>（二）合同框架</w:t>
            </w:r>
          </w:p>
        </w:tc>
        <w:tc>
          <w:tcPr>
            <w:tcW w:type="dxa" w:w="1728"/>
          </w:tcPr>
          <w:p>
            <w:r>
              <w:t>合同金额要素缺失</w:t>
            </w:r>
          </w:p>
        </w:tc>
        <w:tc>
          <w:tcPr>
            <w:tcW w:type="dxa" w:w="1728"/>
          </w:tcPr>
          <w:p>
            <w:r>
              <w:t>全文未约定任何服务项目的单价、总价、计量单位及币种，严重缺失《民法典》第四百七十条要求的“价款或者报酬”必备条款</w:t>
            </w:r>
          </w:p>
        </w:tc>
        <w:tc>
          <w:tcPr>
            <w:tcW w:type="dxa" w:w="1728"/>
          </w:tcPr>
          <w:p>
            <w:r>
              <w:t>高</w:t>
            </w:r>
          </w:p>
        </w:tc>
      </w:tr>
      <w:tr>
        <w:tc>
          <w:tcPr>
            <w:tcW w:type="dxa" w:w="1728"/>
          </w:tcPr>
          <w:p>
            <w:r>
              <w:t>7</w:t>
            </w:r>
          </w:p>
        </w:tc>
        <w:tc>
          <w:tcPr>
            <w:tcW w:type="dxa" w:w="1728"/>
          </w:tcPr>
          <w:p>
            <w:r>
              <w:t>（二）合同框架</w:t>
            </w:r>
          </w:p>
        </w:tc>
        <w:tc>
          <w:tcPr>
            <w:tcW w:type="dxa" w:w="1728"/>
          </w:tcPr>
          <w:p>
            <w:r>
              <w:t>付款机制缺乏阶段控制与质量保障</w:t>
            </w:r>
          </w:p>
        </w:tc>
        <w:tc>
          <w:tcPr>
            <w:tcW w:type="dxa" w:w="1728"/>
          </w:tcPr>
          <w:p>
            <w:r>
              <w:t>未设置基于服务里程碑的付款节点，未约定免费维保期，未预留质量保证金，付款完全依赖月度账单，丧失过程管控与风险分担能力</w:t>
            </w:r>
          </w:p>
        </w:tc>
        <w:tc>
          <w:tcPr>
            <w:tcW w:type="dxa" w:w="1728"/>
          </w:tcPr>
          <w:p>
            <w:r>
              <w:t>高</w:t>
            </w:r>
          </w:p>
        </w:tc>
      </w:tr>
      <w:tr>
        <w:tc>
          <w:tcPr>
            <w:tcW w:type="dxa" w:w="1728"/>
          </w:tcPr>
          <w:p>
            <w:r>
              <w:t>8</w:t>
            </w:r>
          </w:p>
        </w:tc>
        <w:tc>
          <w:tcPr>
            <w:tcW w:type="dxa" w:w="1728"/>
          </w:tcPr>
          <w:p>
            <w:r>
              <w:t>（三）其他基本问题</w:t>
            </w:r>
          </w:p>
        </w:tc>
        <w:tc>
          <w:tcPr>
            <w:tcW w:type="dxa" w:w="1728"/>
          </w:tcPr>
          <w:p>
            <w:r>
              <w:t>正文与附件关于“天”的定义冲突</w:t>
            </w:r>
          </w:p>
        </w:tc>
        <w:tc>
          <w:tcPr>
            <w:tcW w:type="dxa" w:w="1728"/>
          </w:tcPr>
          <w:p>
            <w:r>
              <w:t>正文第14.2款统一界定为“自然日”，但附件一、二、三中多处使用“工作日”且未作特别说明，构成实质性不一致</w:t>
            </w:r>
          </w:p>
        </w:tc>
        <w:tc>
          <w:tcPr>
            <w:tcW w:type="dxa" w:w="1728"/>
          </w:tcPr>
          <w:p>
            <w:r>
              <w:t>高</w:t>
            </w:r>
          </w:p>
        </w:tc>
      </w:tr>
      <w:tr>
        <w:tc>
          <w:tcPr>
            <w:tcW w:type="dxa" w:w="1728"/>
          </w:tcPr>
          <w:p>
            <w:r>
              <w:t>9</w:t>
            </w:r>
          </w:p>
        </w:tc>
        <w:tc>
          <w:tcPr>
            <w:tcW w:type="dxa" w:w="1728"/>
          </w:tcPr>
          <w:p>
            <w:r>
              <w:t>（三）其他基本问题</w:t>
            </w:r>
          </w:p>
        </w:tc>
        <w:tc>
          <w:tcPr>
            <w:tcW w:type="dxa" w:w="1728"/>
          </w:tcPr>
          <w:p>
            <w:r>
              <w:t>服务可用性标准不一致</w:t>
            </w:r>
          </w:p>
        </w:tc>
        <w:tc>
          <w:tcPr>
            <w:tcW w:type="dxa" w:w="1728"/>
          </w:tcPr>
          <w:p>
            <w:r>
              <w:t>附件一验收标准为“不低于99%”，附件二服务保证标准为“99.9%”，二者数值冲突且无优先适用指引</w:t>
            </w:r>
          </w:p>
        </w:tc>
        <w:tc>
          <w:tcPr>
            <w:tcW w:type="dxa" w:w="1728"/>
          </w:tcPr>
          <w:p>
            <w:r>
              <w:t>高</w:t>
            </w:r>
          </w:p>
        </w:tc>
      </w:tr>
      <w:tr>
        <w:tc>
          <w:tcPr>
            <w:tcW w:type="dxa" w:w="1728"/>
          </w:tcPr>
          <w:p>
            <w:r>
              <w:t>10</w:t>
            </w:r>
          </w:p>
        </w:tc>
        <w:tc>
          <w:tcPr>
            <w:tcW w:type="dxa" w:w="1728"/>
          </w:tcPr>
          <w:p>
            <w:r>
              <w:t>（三）其他基本问题</w:t>
            </w:r>
          </w:p>
        </w:tc>
        <w:tc>
          <w:tcPr>
            <w:tcW w:type="dxa" w:w="1728"/>
          </w:tcPr>
          <w:p>
            <w:r>
              <w:t>服务开通日期记录主体矛盾</w:t>
            </w:r>
          </w:p>
        </w:tc>
        <w:tc>
          <w:tcPr>
            <w:tcW w:type="dxa" w:w="1728"/>
          </w:tcPr>
          <w:p>
            <w:r>
              <w:t>附件一规定“以甲方系统记录时间为准”，附件三规定“以乙方系统记录时间为准”，影响计费起算与履约期限认定</w:t>
            </w:r>
          </w:p>
        </w:tc>
        <w:tc>
          <w:tcPr>
            <w:tcW w:type="dxa" w:w="1728"/>
          </w:tcPr>
          <w:p>
            <w:r>
              <w:t>中</w:t>
            </w:r>
          </w:p>
        </w:tc>
      </w:tr>
      <w:tr>
        <w:tc>
          <w:tcPr>
            <w:tcW w:type="dxa" w:w="1728"/>
          </w:tcPr>
          <w:p>
            <w:r>
              <w:t>11</w:t>
            </w:r>
          </w:p>
        </w:tc>
        <w:tc>
          <w:tcPr>
            <w:tcW w:type="dxa" w:w="1728"/>
          </w:tcPr>
          <w:p>
            <w:r>
              <w:t>（三）其他基本问题</w:t>
            </w:r>
          </w:p>
        </w:tc>
        <w:tc>
          <w:tcPr>
            <w:tcW w:type="dxa" w:w="1728"/>
          </w:tcPr>
          <w:p>
            <w:r>
              <w:t>招投标术语混入正式合同文本</w:t>
            </w:r>
          </w:p>
        </w:tc>
        <w:tc>
          <w:tcPr>
            <w:tcW w:type="dxa" w:w="1728"/>
          </w:tcPr>
          <w:p>
            <w:r>
              <w:t>首部引言使用“公开招标编号”“乙方投标承诺”等程序性用语，弱化合同独立合意效力</w:t>
            </w:r>
          </w:p>
        </w:tc>
        <w:tc>
          <w:tcPr>
            <w:tcW w:type="dxa" w:w="1728"/>
          </w:tcPr>
          <w:p>
            <w:r>
              <w:t>中</w:t>
            </w:r>
          </w:p>
        </w:tc>
      </w:tr>
      <w:tr>
        <w:tc>
          <w:tcPr>
            <w:tcW w:type="dxa" w:w="1728"/>
          </w:tcPr>
          <w:p>
            <w:r>
              <w:t>12</w:t>
            </w:r>
          </w:p>
        </w:tc>
        <w:tc>
          <w:tcPr>
            <w:tcW w:type="dxa" w:w="1728"/>
          </w:tcPr>
          <w:p>
            <w:r>
              <w:t>（三）其他基本问题</w:t>
            </w:r>
          </w:p>
        </w:tc>
        <w:tc>
          <w:tcPr>
            <w:tcW w:type="dxa" w:w="1728"/>
          </w:tcPr>
          <w:p>
            <w:r>
              <w:t>乙方名称括号格式不统一</w:t>
            </w:r>
          </w:p>
        </w:tc>
        <w:tc>
          <w:tcPr>
            <w:tcW w:type="dxa" w:w="1728"/>
          </w:tcPr>
          <w:p>
            <w:r>
              <w:t>“乙方：”处用英文半角括号“(北京)”，“账户：”处用中文全角括号“（北京）”，违反主体名称全程一致规范</w:t>
            </w:r>
          </w:p>
        </w:tc>
        <w:tc>
          <w:tcPr>
            <w:tcW w:type="dxa" w:w="1728"/>
          </w:tcPr>
          <w:p>
            <w:r>
              <w:t>中</w:t>
            </w:r>
          </w:p>
        </w:tc>
      </w:tr>
      <w:tr>
        <w:tc>
          <w:tcPr>
            <w:tcW w:type="dxa" w:w="1728"/>
          </w:tcPr>
          <w:p>
            <w:r>
              <w:t>13</w:t>
            </w:r>
          </w:p>
        </w:tc>
        <w:tc>
          <w:tcPr>
            <w:tcW w:type="dxa" w:w="1728"/>
          </w:tcPr>
          <w:p>
            <w:r>
              <w:t>（三）其他基本问题</w:t>
            </w:r>
          </w:p>
        </w:tc>
        <w:tc>
          <w:tcPr>
            <w:tcW w:type="dxa" w:w="1728"/>
          </w:tcPr>
          <w:p>
            <w:r>
              <w:t>准据法表述不规范且排除冲突法不当</w:t>
            </w:r>
          </w:p>
        </w:tc>
        <w:tc>
          <w:tcPr>
            <w:tcW w:type="dxa" w:w="1728"/>
          </w:tcPr>
          <w:p>
            <w:r>
              <w:t>“中国大陆法律法规（不包括冲突法）”术语非法定、逻辑矛盾、效力范围不明，违反《涉外民事关系法律适用法》强制性规定</w:t>
            </w:r>
          </w:p>
        </w:tc>
        <w:tc>
          <w:tcPr>
            <w:tcW w:type="dxa" w:w="1728"/>
          </w:tcPr>
          <w:p>
            <w:r>
              <w:t>中</w:t>
            </w:r>
          </w:p>
        </w:tc>
      </w:tr>
    </w:tbl>
    <w:p>
      <w:r/>
    </w:p>
    <w:p>
      <w:pPr>
        <w:pStyle w:val="Heading2"/>
      </w:pPr>
      <w:r>
        <w:t>三、审查详情</w:t>
      </w:r>
      <w:r/>
    </w:p>
    <w:p>
      <w:pPr>
        <w:pStyle w:val="Heading3"/>
      </w:pPr>
      <w:r>
        <w:t>（一）合同主体</w:t>
      </w:r>
      <w:r/>
    </w:p>
    <w:p>
      <w:pPr>
        <w:pStyle w:val="Heading4"/>
      </w:pPr>
      <w:r>
        <w:t>检查要点 1.1：通过工商数据比对该签约主体是否存在重大涉法涉诉事项</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甲方浙江农村商业联合银行股份有限公司存在国家金融监督管理总局浙江监管局作出的1110万元重大行政处罚记录，符合《市场监督管理严重违法失信名单管理办法》第二条规定的重大违法情形，可能影响其履约能力与商业信誉；乙方腾讯云计算（北京）有限责任公司经中国中小企业协会信用信息平台（xy.cace.org.cn）核查，无失信被执行人记录，现有司法案件多为作为原告的普通商事纠纷，不构成重大履约风险。 </w:t>
      </w:r>
      <w:r/>
    </w:p>
    <w:p>
      <w:pPr>
        <w:pStyle w:val="ListBullet"/>
        <w:spacing w:line="240" w:lineRule="auto"/>
        <w:ind w:left="720"/>
      </w:pPr>
      <w:r/>
      <w:r>
        <w:rPr>
          <w:b/>
        </w:rPr>
        <w:t>原文引用</w:t>
      </w:r>
      <w:r>
        <w:t xml:space="preserve">： </w:t>
      </w:r>
      <w:r/>
    </w:p>
    <w:p>
      <w:r/>
      <w:r>
        <w:t>甲方：浙江农村商业联合银行股份有限公司</w:t>
        <w:br/>
      </w:r>
      <w:r>
        <w:t xml:space="preserve">乙方：腾讯云计算（北京）有限责任公司 </w:t>
      </w:r>
      <w:r/>
      <w:r/>
      <w:r/>
    </w:p>
    <w:p>
      <w:pPr>
        <w:pStyle w:val="ListBullet"/>
        <w:spacing w:line="240" w:lineRule="auto"/>
        <w:ind w:left="720"/>
      </w:pPr>
      <w:r/>
      <w:r>
        <w:rPr>
          <w:b/>
        </w:rPr>
        <w:t>所在位置</w:t>
      </w:r>
      <w:r>
        <w:t xml:space="preserve">：合同签署页 </w:t>
      </w:r>
      <w:r/>
    </w:p>
    <w:p>
      <w:pPr>
        <w:pStyle w:val="ListBullet"/>
        <w:spacing w:line="240" w:lineRule="auto"/>
        <w:ind w:left="720"/>
      </w:pPr>
      <w:r/>
      <w:r>
        <w:rPr>
          <w:b/>
        </w:rPr>
        <w:t>问题分析</w:t>
      </w:r>
      <w:r>
        <w:t xml:space="preserve">：甲方被金融监管机构处以1110万元罚款，属《市场监督管理严重违法失信名单管理办法》第二条所列“被处以责令停产停业、吊销许可证或者执照、取消特种设备作业人员资格、撤销许可、列入严重违法失信名单等行政处罚”的情形，反映其在合规管理、数据安全或内部控制方面可能存在系统性缺陷，构成对合同持续履行能力的实质性影响。合同未就该类重大行政处罚设置风险预警、履约保障或单方救济机制，缺乏对守约方的必要保护。乙方虽存在230起司法案件，但经权威信用平台核实无失信被执行人记录，且多数案件性质为原告方主张债权或合同权利，不构成《民法典》第一百四十三条所指“不具备相应民事行为能力”或“违反强制性规定”的法定无效事由。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一百四十三条：“具备下列条件的民事法律行为有效：（一）行为人具有相应的民事行为能力；（二）意思表示真实；（三）不违反法律、行政法规的强制性规定，不违背公序良俗。” </w:t>
      </w:r>
      <w:r/>
    </w:p>
    <w:p>
      <w:pPr>
        <w:pStyle w:val="ListBullet"/>
        <w:spacing w:line="240" w:lineRule="auto"/>
        <w:ind w:left="720"/>
      </w:pPr>
      <w:r/>
      <w:r>
        <w:t xml:space="preserve">《市场监督管理严重违法失信名单管理办法》第二条：“当事人违反法律、行政法规，性质恶劣、情节严重、社会危害较大，受到市场监督管理部门较重行政处罚的，由市场监督管理部门依照本办法规定列入严重违法失信名单……前款所称较重行政处罚包括：……（三）依法责令停产停业、吊销许可证或者执照、取消特种设备作业人员资格、撤销许可、列入严重违法失信名单等。” </w:t>
      </w:r>
      <w:r/>
    </w:p>
    <w:p>
      <w:pPr>
        <w:pStyle w:val="ListBullet"/>
        <w:spacing w:line="240" w:lineRule="auto"/>
        <w:ind w:left="720"/>
      </w:pPr>
      <w:r/>
      <w:r>
        <w:t xml:space="preserve">《最高人民法院关于公布失信被执行人名单信息的若干规定》第一条：“被执行人未履行生效法律文书确定的义务，并具有下列情形之一的，人民法院应当将其纳入失信被执行人名单……”（注：司法案件数量本身不等同于失信状态） </w:t>
      </w:r>
      <w:r/>
    </w:p>
    <w:p>
      <w:pPr>
        <w:pStyle w:val="ListBullet"/>
        <w:spacing w:line="240" w:lineRule="auto"/>
        <w:ind w:left="720"/>
      </w:pPr>
      <w:r/>
      <w:r>
        <w:rPr>
          <w:b/>
        </w:rPr>
        <w:t>修改建议</w:t>
      </w:r>
      <w:r>
        <w:t xml:space="preserve">： </w:t>
      </w:r>
      <w:r/>
    </w:p>
    <w:p>
      <w:r/>
      <w:r>
        <w:t>“鉴于甲方于【X年X月】因【具体违规事由，如‘数据安全管理不到位’】被国家金融监督管理总局浙江监管局处以1110万元行政处罚，双方确认该事项可能对本协议项下义务的持续履行构成潜在影响。甲方承诺：在本协议签署前，向乙方提供最近三年内无重大违法违规记录的书面声明及加盖公章的行政处罚查询结果证明文件。如甲方在本协议履行期间，因同类或类似违法违规行为再次被行政机关处以500万元以上罚款，或被人民法院列为失信被执行人、被市场监管部门列入严重违法失信名单，乙方有权立即单方解除本协议，并要求甲方支付相当于合同总金额20%的违约金。前述违约金不足以弥补乙方实际损失的，甲方应就差额部分另行赔偿。”</w:t>
      </w:r>
      <w:r/>
      <w:r/>
      <w:r/>
      <w:r/>
    </w:p>
    <w:p>
      <w:pPr>
        <w:pStyle w:val="Heading4"/>
      </w:pPr>
      <w:r>
        <w:t>检查要点 1.2：合同提供信息是否齐全，是否与工商登记一致，包括联系地址、联系电话、传真、法定代表人或负责人、联系人等信息</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首部主体信息存在多项缺失与不一致情形，包括甲乙双方均未载明传真号码及法定代表人信息；甲方联系电话与工商登记不符；乙方联系电话及邮编与工商登记信息严重不符，影响合同主体识别准确性与后续履约、送达效力。 </w:t>
      </w:r>
      <w:r/>
    </w:p>
    <w:p>
      <w:pPr>
        <w:pStyle w:val="ListBullet"/>
        <w:spacing w:line="240" w:lineRule="auto"/>
        <w:ind w:left="720"/>
      </w:pPr>
      <w:r/>
      <w:r>
        <w:rPr>
          <w:b/>
        </w:rPr>
        <w:t>原文引用</w:t>
      </w:r>
      <w:r>
        <w:t xml:space="preserve">： </w:t>
      </w:r>
      <w:r/>
    </w:p>
    <w:p>
      <w:r/>
      <w:r>
        <w:t xml:space="preserve">甲方：浙江农村商业联合银行股份有限公司 </w:t>
      </w:r>
      <w:r/>
    </w:p>
    <w:p>
      <w:r/>
      <w:r>
        <w:t xml:space="preserve">地址：杭州市上城区秋涛路660号 </w:t>
      </w:r>
      <w:r/>
    </w:p>
    <w:p>
      <w:r/>
      <w:r>
        <w:t xml:space="preserve">电话：0571-56929972 </w:t>
      </w:r>
      <w:r/>
    </w:p>
    <w:p>
      <w:r/>
      <w:r>
        <w:t xml:space="preserve">邮编：311200 </w:t>
      </w:r>
      <w:r/>
    </w:p>
    <w:p>
      <w:r/>
      <w:r>
        <w:t xml:space="preserve">联系人：裘竹青 </w:t>
      </w:r>
      <w:r/>
    </w:p>
    <w:p>
      <w:r/>
      <w:r>
        <w:t xml:space="preserve">邮箱地址：kjc_ztb@zjrcu.com </w:t>
      </w:r>
      <w:r/>
    </w:p>
    <w:p>
      <w:r/>
      <w:r>
        <w:t xml:space="preserve">统一社会信用代码：91330000761316739P </w:t>
      </w:r>
      <w:r/>
    </w:p>
    <w:p>
      <w:r/>
      <w:r>
        <w:t xml:space="preserve">乙方：腾讯云计算(北京)有限责任公司 </w:t>
      </w:r>
      <w:r/>
    </w:p>
    <w:p>
      <w:r/>
      <w:r>
        <w:t xml:space="preserve">地址：北京市海淀区西北旺东路10号院西区9号楼4层101 </w:t>
      </w:r>
      <w:r/>
    </w:p>
    <w:p>
      <w:r/>
      <w:r>
        <w:t xml:space="preserve">电话：010-82173652 </w:t>
      </w:r>
      <w:r/>
    </w:p>
    <w:p>
      <w:r/>
      <w:r>
        <w:t xml:space="preserve">邮编：200233 </w:t>
      </w:r>
      <w:r/>
    </w:p>
    <w:p>
      <w:r/>
      <w:r>
        <w:t xml:space="preserve">联系人：谭路 </w:t>
      </w:r>
      <w:r/>
    </w:p>
    <w:p>
      <w:r/>
      <w:r>
        <w:t xml:space="preserve">邮箱地址：jackylutan@tencent.com </w:t>
      </w:r>
      <w:r/>
    </w:p>
    <w:p>
      <w:r/>
      <w:r>
        <w:t xml:space="preserve">统一社会信用代码：911101085636549482 </w:t>
      </w:r>
      <w:r/>
      <w:r/>
      <w:r/>
    </w:p>
    <w:p>
      <w:pPr>
        <w:pStyle w:val="ListBullet"/>
        <w:spacing w:line="240" w:lineRule="auto"/>
        <w:ind w:left="720"/>
      </w:pPr>
      <w:r/>
      <w:r>
        <w:rPr>
          <w:b/>
        </w:rPr>
        <w:t>所在位置</w:t>
      </w:r>
      <w:r>
        <w:t xml:space="preserve">：合同首部签约主体信息栏 </w:t>
      </w:r>
      <w:r/>
    </w:p>
    <w:p>
      <w:pPr>
        <w:pStyle w:val="ListBullet"/>
        <w:spacing w:line="240" w:lineRule="auto"/>
        <w:ind w:left="720"/>
      </w:pPr>
      <w:r/>
      <w:r>
        <w:rPr>
          <w:b/>
        </w:rPr>
        <w:t>问题分析</w:t>
      </w:r>
      <w:r>
        <w:t xml:space="preserve">： </w:t>
      </w:r>
      <w:r/>
    </w:p>
    <w:p>
      <w:pPr>
        <w:pStyle w:val="ListBullet"/>
        <w:spacing w:line="240" w:lineRule="auto"/>
        <w:ind w:left="720"/>
      </w:pPr>
      <w:r/>
      <w:r>
        <w:t xml:space="preserve">信息缺失：合同未列明甲乙双方“传真”及“法定代表人或负责人”，不符合商事合同审慎性要求，亦可能影响法律文书有效送达及责任主体认定； </w:t>
      </w:r>
      <w:r/>
    </w:p>
    <w:p>
      <w:pPr>
        <w:pStyle w:val="ListBullet"/>
        <w:spacing w:line="240" w:lineRule="auto"/>
        <w:ind w:left="720"/>
      </w:pPr>
      <w:r/>
      <w:r>
        <w:t xml:space="preserve">信息不一致：甲方联系电话（0571-56929972）与国家企业信用信息公示系统/企查查登记的公开电话（0571-85866919）不符；乙方联系电话（010-82173652）与登记电话（4009100100、010-62671188）不一致，且所填邮编“200233”为上海市闵行区邮编，与乙方注册地址“北京市海淀区”明显矛盾，属基础信息错误，易引发履约沟通障碍、司法送达无效等风险； </w:t>
      </w:r>
      <w:r/>
    </w:p>
    <w:p>
      <w:pPr>
        <w:pStyle w:val="ListBullet"/>
        <w:spacing w:line="240" w:lineRule="auto"/>
        <w:ind w:left="720"/>
      </w:pPr>
      <w:r/>
      <w:r>
        <w:t xml:space="preserve">联系人信息虽无需与工商登记完全一致（因其可为具体业务对接人），但须以法定代表人信息为法定责任锚点，当前缺失将削弱合同签署权限的可验证性。 </w:t>
      </w:r>
      <w:r/>
    </w:p>
    <w:p>
      <w:pPr>
        <w:pStyle w:val="ListBullet"/>
        <w:spacing w:line="240" w:lineRule="auto"/>
        <w:ind w:left="720"/>
      </w:pPr>
      <w:r/>
      <w:r>
        <w:rPr>
          <w:b/>
        </w:rPr>
        <w:t>法律依据</w:t>
      </w:r>
      <w:r>
        <w:t xml:space="preserve">： </w:t>
      </w:r>
      <w:r/>
    </w:p>
    <w:p>
      <w:pPr>
        <w:pStyle w:val="ListBullet"/>
        <w:spacing w:line="240" w:lineRule="auto"/>
        <w:ind w:left="720"/>
      </w:pPr>
      <w:r/>
      <w:r>
        <w:t xml:space="preserve">《民法典》第四百七十条：合同内容一般应包括当事人的名称或者名称和住所，虽未强制列举传真、法定代表人等字段，但该条款强调“当事人约定”应确保意思表示真实、主体明确、权利义务可溯； </w:t>
      </w:r>
      <w:r/>
    </w:p>
    <w:p>
      <w:pPr>
        <w:pStyle w:val="ListBullet"/>
        <w:spacing w:line="240" w:lineRule="auto"/>
        <w:ind w:left="720"/>
      </w:pPr>
      <w:r/>
      <w:r>
        <w:t xml:space="preserve">《最高人民法院关于适用〈中华人民共和国民事诉讼法〉的解释》第一百一十六条：电子数据、书证等证据需具备真实性、合法性、关联性；合同首部信息作为确认缔约主体的核心依据，其失实可能影响证据效力及诉讼主体适格性； </w:t>
      </w:r>
      <w:r/>
    </w:p>
    <w:p>
      <w:pPr>
        <w:pStyle w:val="ListBullet"/>
        <w:spacing w:line="240" w:lineRule="auto"/>
        <w:ind w:left="720"/>
      </w:pPr>
      <w:r/>
      <w:r>
        <w:t xml:space="preserve">《市场主体登记管理条例》第二十四条：市场主体应当对其提交材料的真实性、合法性、有效性负责；合同中引用的登记信息应与登记机关公示信息保持一致，否则可能被推定为缔约主体识别不明。 </w:t>
      </w:r>
      <w:r/>
    </w:p>
    <w:p>
      <w:pPr>
        <w:pStyle w:val="ListBullet"/>
        <w:spacing w:line="240" w:lineRule="auto"/>
        <w:ind w:left="720"/>
      </w:pPr>
      <w:r/>
      <w:r>
        <w:rPr>
          <w:b/>
        </w:rPr>
        <w:t>修改建议</w:t>
      </w:r>
      <w:r>
        <w:t xml:space="preserve">： </w:t>
      </w:r>
      <w:r/>
    </w:p>
    <w:p>
      <w:r/>
      <w:r>
        <w:t xml:space="preserve">甲方：浙江农村商业联合银行股份有限公司 </w:t>
      </w:r>
      <w:r/>
    </w:p>
    <w:p>
      <w:r/>
      <w:r>
        <w:t xml:space="preserve">地址：杭州市上城区秋涛路660号 </w:t>
      </w:r>
      <w:r/>
    </w:p>
    <w:p>
      <w:r/>
      <w:r>
        <w:t xml:space="preserve">电话：0571-85866919 </w:t>
      </w:r>
      <w:r/>
    </w:p>
    <w:p>
      <w:r/>
      <w:r>
        <w:t>传真：</w:t>
      </w:r>
      <w:r>
        <w:rPr>
          <w:b/>
          <w:i/>
        </w:rPr>
        <w:t>_</w:t>
      </w:r>
      <w:r>
        <w:t xml:space="preserve">___ </w:t>
      </w:r>
      <w:r/>
    </w:p>
    <w:p>
      <w:r/>
      <w:r>
        <w:t xml:space="preserve">邮编：311200 </w:t>
      </w:r>
      <w:r/>
    </w:p>
    <w:p>
      <w:r/>
      <w:r>
        <w:t xml:space="preserve">法定代表人：林仁方 </w:t>
      </w:r>
      <w:r/>
    </w:p>
    <w:p>
      <w:r/>
      <w:r>
        <w:t xml:space="preserve">联系人：裘竹青 </w:t>
      </w:r>
      <w:r/>
    </w:p>
    <w:p>
      <w:r/>
      <w:r>
        <w:t xml:space="preserve">邮箱地址：kjc_ztb@zjrcu.com </w:t>
      </w:r>
      <w:r/>
    </w:p>
    <w:p>
      <w:r/>
      <w:r>
        <w:t xml:space="preserve">统一社会信用代码：91330000761316739P </w:t>
      </w:r>
      <w:r/>
    </w:p>
    <w:p>
      <w:r/>
      <w:r>
        <w:t xml:space="preserve">乙方：腾讯云计算(北京)有限责任公司 </w:t>
      </w:r>
      <w:r/>
    </w:p>
    <w:p>
      <w:r/>
      <w:r>
        <w:t xml:space="preserve">地址：北京市海淀区西北旺东路10号院西区9号楼4层101 </w:t>
      </w:r>
      <w:r/>
    </w:p>
    <w:p>
      <w:r/>
      <w:r>
        <w:t xml:space="preserve">电话：010-62671188 </w:t>
      </w:r>
      <w:r/>
    </w:p>
    <w:p>
      <w:r/>
      <w:r>
        <w:t>传真：</w:t>
      </w:r>
      <w:r>
        <w:rPr>
          <w:b/>
          <w:i/>
        </w:rPr>
        <w:t>_</w:t>
      </w:r>
      <w:r>
        <w:t xml:space="preserve">___ </w:t>
      </w:r>
      <w:r/>
    </w:p>
    <w:p>
      <w:r/>
      <w:r>
        <w:t xml:space="preserve">邮编：100085 </w:t>
      </w:r>
      <w:r/>
    </w:p>
    <w:p>
      <w:r/>
      <w:r>
        <w:t xml:space="preserve">法定代表人：李强 </w:t>
      </w:r>
      <w:r/>
    </w:p>
    <w:p>
      <w:r/>
      <w:r>
        <w:t xml:space="preserve">联系人：谭路 </w:t>
      </w:r>
      <w:r/>
    </w:p>
    <w:p>
      <w:r/>
      <w:r>
        <w:t xml:space="preserve">邮箱地址：jackylutan@tencent.com </w:t>
      </w:r>
      <w:r/>
    </w:p>
    <w:p>
      <w:r/>
      <w:r>
        <w:t>统一社会信用代码：911101085636549482</w:t>
      </w:r>
      <w:r/>
      <w:r/>
      <w:r/>
      <w:r/>
    </w:p>
    <w:p>
      <w:pPr>
        <w:pStyle w:val="Heading4"/>
      </w:pPr>
      <w:r>
        <w:t>检查要点 1.3：购买软件等产品，是否有核心知识产权</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赋予甲方对所购腾讯云软件产品享有任何核心知识产权；第7.2条单方保留全部服务成果及衍生品知识产权，并明确排除甲方获得相关权益的解释空间，与委托开发场景下法定权属规则相冲突，实质性剥夺甲方依法可协商取得知识产权的权利，构成重大权益失衡。 </w:t>
      </w:r>
      <w:r/>
    </w:p>
    <w:p>
      <w:pPr>
        <w:pStyle w:val="ListBullet"/>
        <w:spacing w:line="240" w:lineRule="auto"/>
        <w:ind w:left="720"/>
      </w:pPr>
      <w:r/>
      <w:r>
        <w:rPr>
          <w:b/>
        </w:rPr>
        <w:t>原文引用</w:t>
      </w:r>
      <w:r>
        <w:t xml:space="preserve">： </w:t>
      </w:r>
      <w:r/>
    </w:p>
    <w:p>
      <w:r/>
      <w:r>
        <w:t xml:space="preserve">7.2 腾讯云保留本协议项下服务成果和服务衍生品的知识产权和其他权益；除本协议另有明确规定外，本协议任何内容均不得解释为授予甲方前述服务成果和服务衍生品的知识产权和其他权益。 </w:t>
      </w:r>
      <w:r/>
      <w:r/>
      <w:r/>
    </w:p>
    <w:p>
      <w:pPr>
        <w:pStyle w:val="ListBullet"/>
        <w:spacing w:line="240" w:lineRule="auto"/>
        <w:ind w:left="720"/>
      </w:pPr>
      <w:r/>
      <w:r>
        <w:rPr>
          <w:b/>
        </w:rPr>
        <w:t>所在位置</w:t>
      </w:r>
      <w:r>
        <w:t xml:space="preserve">：第七条 知识产权 第7.2款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服务成果”与“服务衍生品”未作明确定义，但结合合同上下文（如云服务器、数据库、中间件等PaaS/SaaS服务形态），其实际涵盖甲方在使用过程中依赖、调用、配置乃至深度集成的软件功能模块，部分可能已具备定制化开发属性； </w:t>
      </w:r>
      <w:r/>
    </w:p>
    <w:p>
      <w:pPr>
        <w:pStyle w:val="ListBullet"/>
        <w:spacing w:line="240" w:lineRule="auto"/>
        <w:ind w:left="720"/>
      </w:pPr>
      <w:r/>
      <w:r>
        <w:t xml:space="preserve">条款采用绝对化表述（“保留+排除”），未设置例外情形，既未区分腾讯云自有通用软件与甲方特定需求驱动的定制化交付内容，亦未确认甲方对其生成数据、业务逻辑、界面设计、API集成方案等衍生成果的权利； </w:t>
      </w:r>
      <w:r/>
    </w:p>
    <w:p>
      <w:pPr>
        <w:pStyle w:val="ListBullet"/>
        <w:spacing w:line="240" w:lineRule="auto"/>
        <w:ind w:left="720"/>
      </w:pPr>
      <w:r/>
      <w:r>
        <w:t xml:space="preserve">若合同履行中涉及依甲方需求开展适配开发、私有化部署或联合调试等行为，则该等合作实质接近委托开发关系，依据《计算机软件保护条例》第十一条及《著作权法》第十九条，甲方作为委托方依法享有通过合同约定取得相应软件著作权的权利，而本条完全排除该法定协商路径，显失公平且缺乏对等保障机制。 </w:t>
      </w:r>
      <w:r/>
    </w:p>
    <w:p>
      <w:pPr>
        <w:pStyle w:val="ListBullet"/>
        <w:spacing w:line="240" w:lineRule="auto"/>
        <w:ind w:left="720"/>
      </w:pPr>
      <w:r/>
      <w:r>
        <w:rPr>
          <w:b/>
        </w:rPr>
        <w:t>法律依据</w:t>
      </w:r>
      <w:r>
        <w:t xml:space="preserve">： </w:t>
      </w:r>
      <w:r/>
    </w:p>
    <w:p>
      <w:pPr>
        <w:pStyle w:val="ListBullet"/>
        <w:spacing w:line="240" w:lineRule="auto"/>
        <w:ind w:left="720"/>
      </w:pPr>
      <w:r/>
      <w:r>
        <w:t xml:space="preserve">《计算机软件保护条例》第九条：“软件著作权属于软件开发者，本条例另有规定的除外。” </w:t>
      </w:r>
      <w:r/>
    </w:p>
    <w:p>
      <w:pPr>
        <w:pStyle w:val="ListBullet"/>
        <w:spacing w:line="240" w:lineRule="auto"/>
        <w:ind w:left="720"/>
      </w:pPr>
      <w:r/>
      <w:r>
        <w:t xml:space="preserve">《计算机软件保护条例》第十一条：“接受他人委托开发的软件，其著作权的归属由委托人与受托人签订书面合同约定；无书面合同或者合同未作明确约定的，其著作权由受托人享有。” </w:t>
      </w:r>
      <w:r/>
    </w:p>
    <w:p>
      <w:pPr>
        <w:pStyle w:val="ListBullet"/>
        <w:spacing w:line="240" w:lineRule="auto"/>
        <w:ind w:left="720"/>
      </w:pPr>
      <w:r/>
      <w:r>
        <w:t xml:space="preserve">《中华人民共和国著作权法》第十九条：“受委托创作的作品，著作权的归属由委托人和受托人通过合同约定。合同未作明确约定或者没有订立合同的，著作权属于受托人。” </w:t>
      </w:r>
      <w:r/>
    </w:p>
    <w:p>
      <w:pPr>
        <w:pStyle w:val="ListBullet"/>
        <w:spacing w:line="240" w:lineRule="auto"/>
        <w:ind w:left="720"/>
      </w:pPr>
      <w:r/>
      <w:r>
        <w:rPr>
          <w:b/>
        </w:rPr>
        <w:t>修改建议</w:t>
      </w:r>
      <w:r>
        <w:t xml:space="preserve">： </w:t>
      </w:r>
      <w:r/>
    </w:p>
    <w:p>
      <w:r/>
      <w:r>
        <w:t>7.2 腾讯云保留其自有基础平台软件（包括但不限于底层操作系统、虚拟化引擎、通用中间件等）的全部知识产权；对于甲方在使用腾讯云服务过程中独立生成的数据、配置信息、业务规则、界面设计、API调用逻辑等成果，其知识产权归甲方所有；对于双方合作开发或由腾讯云依甲方特定需求定制开发的软件模块、接口程序、扩展组件等，其知识产权归属由双方另行签署书面协议约定；本协议任何内容均不得解释为授予甲方对腾讯云自有软件核心代码、算法、架构设计等基础知识产权的许可或转让。</w:t>
      </w:r>
      <w:r/>
      <w:r/>
      <w:r/>
      <w:r/>
    </w:p>
    <w:p>
      <w:pPr>
        <w:pStyle w:val="Heading3"/>
      </w:pPr>
      <w:r>
        <w:t>（二）合同框架</w:t>
      </w:r>
      <w:r/>
    </w:p>
    <w:p>
      <w:pPr>
        <w:pStyle w:val="Heading4"/>
      </w:pPr>
      <w:r>
        <w:t>检查要点 2.1：合同主要项目负责人是否确定、是否预留姓名、身份证号码及电话号码</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：合同未明确指定“合同主要项目负责人”，仅列明甲乙双方联系人，且未提供任何一方项目负责人的身份证号码及个人有效联系电话，不符合行业规范对项目负责人身份信息完整性的要求。 </w:t>
      </w:r>
      <w:r/>
    </w:p>
    <w:p>
      <w:pPr>
        <w:pStyle w:val="ListBullet"/>
        <w:spacing w:line="240" w:lineRule="auto"/>
        <w:ind w:left="720"/>
      </w:pPr>
      <w:r/>
      <w:r>
        <w:rPr>
          <w:b/>
        </w:rPr>
        <w:t>原文引用</w:t>
      </w:r>
      <w:r>
        <w:t xml:space="preserve">： </w:t>
      </w:r>
      <w:r/>
    </w:p>
    <w:p>
      <w:r/>
      <w:r>
        <w:t xml:space="preserve">联系人：裘竹青 </w:t>
      </w:r>
      <w:r/>
    </w:p>
    <w:p>
      <w:r/>
      <w:r>
        <w:t xml:space="preserve">邮箱地址：kjc_ztb@zjrcu.com </w:t>
      </w:r>
      <w:r/>
    </w:p>
    <w:p>
      <w:r/>
      <w:r>
        <w:t xml:space="preserve">电话：0571-56929972 </w:t>
      </w:r>
      <w:r/>
    </w:p>
    <w:p>
      <w:r/>
      <w:r>
        <w:t xml:space="preserve">联系人：谭路 </w:t>
      </w:r>
      <w:r/>
    </w:p>
    <w:p>
      <w:r/>
      <w:r>
        <w:t xml:space="preserve">邮箱地址：jackylutan@tencent.com </w:t>
      </w:r>
      <w:r/>
    </w:p>
    <w:p>
      <w:r/>
      <w:r>
        <w:t xml:space="preserve">电话：010-82173652 </w:t>
      </w:r>
      <w:r/>
      <w:r/>
      <w:r/>
    </w:p>
    <w:p>
      <w:pPr>
        <w:pStyle w:val="ListBullet"/>
        <w:spacing w:line="240" w:lineRule="auto"/>
        <w:ind w:left="720"/>
      </w:pPr>
      <w:r/>
      <w:r>
        <w:rPr>
          <w:b/>
        </w:rPr>
        <w:t>所在位置</w:t>
      </w:r>
      <w:r>
        <w:t xml:space="preserve">：合同首部“联系人”信息栏 </w:t>
      </w:r>
      <w:r/>
    </w:p>
    <w:p>
      <w:pPr>
        <w:pStyle w:val="ListBullet"/>
        <w:spacing w:line="240" w:lineRule="auto"/>
        <w:ind w:left="720"/>
      </w:pPr>
      <w:r/>
      <w:r>
        <w:rPr>
          <w:b/>
        </w:rPr>
        <w:t>问题分析</w:t>
      </w:r>
      <w:r>
        <w:t>：</w:t>
        <w:br/>
      </w:r>
      <w:r>
        <w:t xml:space="preserve">“联系人”不等同于“合同主要项目负责人”，二者在职责范围、履约责任及管理权限上存在实质性差异；合同未对项目负责人作出明确定义或授权表述，亦未载明其身份证号码及可直接联络的个人手机号码，仅提供公司总机电话，将导致履约过程中权责不清、响应迟滞、争议追溯困难等操作与法律风险。 </w:t>
      </w:r>
      <w:r/>
    </w:p>
    <w:p>
      <w:pPr>
        <w:pStyle w:val="ListBullet"/>
        <w:spacing w:line="240" w:lineRule="auto"/>
        <w:ind w:left="720"/>
      </w:pPr>
      <w:r/>
      <w:r>
        <w:rPr>
          <w:b/>
        </w:rPr>
        <w:t>法律依据</w:t>
      </w:r>
      <w:r>
        <w:t>：</w:t>
        <w:br/>
      </w:r>
      <w:r>
        <w:t xml:space="preserve">《档案服务外包工作规范 第4部分：档案整理服务》（DA/T 68.4—2020）第5.2.1条规定：“承包方应根据招投标文件、合同等约定，成立整理服务项目组，按发包方要求配备具有相应知识水平、业务技能的项目负责人……并提供项目负责人姓名、身份证号码、所属单位、联系方式等基本信息。”该标准虽属推荐性行业规范，但在档案类专业服务合同中具有普遍适用性和监管参考效力。 </w:t>
      </w:r>
      <w:r/>
    </w:p>
    <w:p>
      <w:pPr>
        <w:pStyle w:val="ListBullet"/>
        <w:spacing w:line="240" w:lineRule="auto"/>
        <w:ind w:left="720"/>
      </w:pPr>
      <w:r/>
      <w:r>
        <w:rPr>
          <w:b/>
        </w:rPr>
        <w:t>修改建议</w:t>
      </w:r>
      <w:r>
        <w:t xml:space="preserve">： </w:t>
      </w:r>
      <w:r/>
    </w:p>
    <w:p>
      <w:r/>
      <w:r>
        <w:t>甲方指定本合同主要项目负责人为：</w:t>
      </w:r>
      <w:r>
        <w:rPr>
          <w:b/>
          <w:i/>
        </w:rPr>
        <w:t>_</w:t>
      </w:r>
      <w:r>
        <w:t>_，身份证号码：</w:t>
      </w:r>
      <w:r>
        <w:rPr>
          <w:b/>
          <w:i/>
        </w:rPr>
        <w:t>_</w:t>
      </w:r>
      <w:r>
        <w:rPr>
          <w:b/>
          <w:i/>
        </w:rPr>
        <w:t>_</w:t>
      </w:r>
      <w:r>
        <w:rPr>
          <w:b/>
        </w:rPr>
        <w:t>，联系电话（手机）：</w:t>
      </w:r>
      <w:r>
        <w:rPr>
          <w:b/>
          <w:i/>
        </w:rPr>
        <w:t>_</w:t>
      </w:r>
      <w:r>
        <w:rPr>
          <w:b/>
          <w:i/>
        </w:rPr>
        <w:t>_</w:t>
      </w:r>
      <w:r>
        <w:t xml:space="preserve">。 </w:t>
      </w:r>
      <w:r/>
    </w:p>
    <w:p>
      <w:r/>
      <w:r>
        <w:t>乙方指定本合同主要项目负责人为：</w:t>
      </w:r>
      <w:r>
        <w:rPr>
          <w:b/>
          <w:i/>
        </w:rPr>
        <w:t>_</w:t>
      </w:r>
      <w:r>
        <w:t>_，身份证号码：</w:t>
      </w:r>
      <w:r>
        <w:rPr>
          <w:b/>
          <w:i/>
        </w:rPr>
        <w:t>_</w:t>
      </w:r>
      <w:r>
        <w:rPr>
          <w:b/>
          <w:i/>
        </w:rPr>
        <w:t>_</w:t>
      </w:r>
      <w:r>
        <w:rPr>
          <w:b/>
        </w:rPr>
        <w:t>，联系电话（手机）：</w:t>
      </w:r>
      <w:r>
        <w:rPr>
          <w:b/>
          <w:i/>
        </w:rPr>
        <w:t>_</w:t>
      </w:r>
      <w:r>
        <w:rPr>
          <w:b/>
          <w:i/>
        </w:rPr>
        <w:t>_</w:t>
      </w:r>
      <w:r>
        <w:t xml:space="preserve">。 </w:t>
      </w:r>
      <w:r/>
    </w:p>
    <w:p>
      <w:r/>
      <w:r>
        <w:t>双方项目负责人全面负责本合同项下服务的组织、实施、协调与验收对接工作，其履职行为视为各自一方的正式意思表示。</w:t>
      </w:r>
      <w:r/>
      <w:r/>
      <w:r/>
      <w:r/>
    </w:p>
    <w:p>
      <w:pPr>
        <w:pStyle w:val="Heading4"/>
      </w:pPr>
      <w:r>
        <w:t>检查要点 2.2：采购内容：品种、规格、型号、等级、花色等应具体注明，必要时可通过附件说明标的物的实际情况</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载明采购服务的具体品种、规格、型号、等级、花色等关键要素，仅以“所需服务”“腾讯云服务”等模糊表述概括，不符合采购需求必须“完整、明确”的法定要求，可能导致服务范围不清、履约依据不足、验收标准缺失及争议解决困难。 </w:t>
      </w:r>
      <w:r/>
    </w:p>
    <w:p>
      <w:pPr>
        <w:pStyle w:val="ListBullet"/>
        <w:spacing w:line="240" w:lineRule="auto"/>
        <w:ind w:left="720"/>
      </w:pPr>
      <w:r/>
      <w:r>
        <w:rPr>
          <w:b/>
        </w:rPr>
        <w:t>原文引用</w:t>
      </w:r>
      <w:r>
        <w:t xml:space="preserve">： </w:t>
      </w:r>
      <w:r/>
    </w:p>
    <w:p>
      <w:r/>
      <w:r>
        <w:t xml:space="preserve">3.1.1 甲方可根据自身需求，自行通过腾讯云官网在线选购所需服务；甲方也可以委托甲方的专属客户经理、客服代表协助甲方选购所需服务。甲方的订单被系统接受并显示已成功下单的，则表示服务购买成功，腾讯云应按照甲方的订购需求及服务规则为甲方提供服务，甲方和腾讯云之间另有约定的，按照约定执行。 </w:t>
      </w:r>
      <w:r/>
      <w:r/>
      <w:r/>
    </w:p>
    <w:p>
      <w:pPr>
        <w:pStyle w:val="ListBullet"/>
        <w:spacing w:line="240" w:lineRule="auto"/>
        <w:ind w:left="720"/>
      </w:pPr>
      <w:r/>
      <w:r>
        <w:rPr>
          <w:b/>
        </w:rPr>
        <w:t>所在位置</w:t>
      </w:r>
      <w:r>
        <w:t xml:space="preserve">：第三条 服务 3.1.1 </w:t>
      </w:r>
      <w:r/>
    </w:p>
    <w:p>
      <w:pPr>
        <w:pStyle w:val="ListBullet"/>
        <w:spacing w:line="240" w:lineRule="auto"/>
        <w:ind w:left="720"/>
      </w:pPr>
      <w:r/>
      <w:r>
        <w:rPr>
          <w:b/>
        </w:rPr>
        <w:t>问题分析</w:t>
      </w:r>
      <w:r>
        <w:t xml:space="preserve">：条款中反复使用“所需服务”“订购需求”等不确定性表述，未界定任何一项具体服务的技术参数、功能边界、服务层级或配置标准；合同全文未设置附件或补充文件对采购标的予以具象化说明，亦未援引可公开获取的外部技术文档作为组成部分，致使合同缺乏可执行性与可验证性。 </w:t>
      </w:r>
      <w:r/>
    </w:p>
    <w:p>
      <w:pPr>
        <w:pStyle w:val="ListBullet"/>
        <w:spacing w:line="240" w:lineRule="auto"/>
        <w:ind w:left="720"/>
      </w:pPr>
      <w:r/>
      <w:r>
        <w:rPr>
          <w:b/>
        </w:rPr>
        <w:t>法律依据</w:t>
      </w:r>
      <w:r>
        <w:t xml:space="preserve">：《中华人民共和国政府采购法实施条例》第十五条：“除因技术复杂或者性质特殊，不能确定详细规格或者具体要求外，采购需求应当完整、明确。必要时，应当就确定采购需求征求相关供应商、专家的意见。” </w:t>
      </w:r>
      <w:r/>
    </w:p>
    <w:p>
      <w:pPr>
        <w:pStyle w:val="ListBullet"/>
        <w:spacing w:line="240" w:lineRule="auto"/>
        <w:ind w:left="720"/>
      </w:pPr>
      <w:r/>
      <w:r>
        <w:rPr>
          <w:b/>
        </w:rPr>
        <w:t>修改建议</w:t>
      </w:r>
      <w:r>
        <w:t xml:space="preserve">： </w:t>
      </w:r>
      <w:r/>
    </w:p>
    <w:p>
      <w:r/>
      <w:r>
        <w:t>3.1.1 甲方可根据自身需求，自行通过腾讯云官网在线选购所需服务；甲方也可以委托甲方的专属客户经理、客服代表协助甲方选购所需服务。甲方所采购的具体服务内容包括：______（须逐项列明服务品种、规格、型号、等级、计费周期、并发量/带宽/存储容量等关键技术参数及服务等级协议SLA要求），详见本合同附件一《采购服务清单》。甲方的订单被系统接受并显示已成功下单的，则表示服务购买成功，腾讯云应严格按照本合同及附件一所载明的服务内容、技术标准与履约要求提供服务；甲方和腾讯云之间另有约定的，不得低于本合同及附件一的实质性要求。</w:t>
      </w:r>
      <w:r/>
      <w:r/>
      <w:r/>
      <w:r/>
    </w:p>
    <w:p>
      <w:pPr>
        <w:pStyle w:val="Heading4"/>
      </w:pPr>
      <w:r>
        <w:t>检查要点 2.3：合同金额：数量、价款要明确，包括数额的计量单位，同时写明标的物的单价、总价，币种等</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载明任何具体服务项目的单价、总价、计量单位及币种，仅以概括性表述（如“服务费用”“支付费用”“账单”）替代实质性价格条款，严重缺失《合同法》第十二条所要求的“价款或者报酬”这一必备要素，可能导致合同不成立、效力瑕疵或履行争议。 </w:t>
      </w:r>
      <w:r/>
    </w:p>
    <w:p>
      <w:pPr>
        <w:pStyle w:val="ListBullet"/>
        <w:spacing w:line="240" w:lineRule="auto"/>
        <w:ind w:left="720"/>
      </w:pPr>
      <w:r/>
      <w:r>
        <w:rPr>
          <w:b/>
        </w:rPr>
        <w:t>原文引用</w:t>
      </w:r>
      <w:r>
        <w:t xml:space="preserve">： </w:t>
      </w:r>
      <w:r/>
    </w:p>
    <w:p>
      <w:r/>
      <w:r>
        <w:t xml:space="preserve">3.2 服务费用 </w:t>
      </w:r>
      <w:r/>
    </w:p>
    <w:p>
      <w:r/>
      <w:r>
        <w:t xml:space="preserve">3.2.1 甲方可以通过先付费或后付费的方式获取腾讯云服务，具体以甲方所购买的服务所支持的付费方式为准。 </w:t>
      </w:r>
      <w:r/>
    </w:p>
    <w:p>
      <w:r/>
      <w:r>
        <w:t xml:space="preserve">先付费，或称“预付费”，甲方需要在提交订单并完成付费后，腾讯云才提供相应的服务；后付费，甲方先使用服务后支付费用，甲方需在按照该服务的服务规则确定的付款期限内支付费用。 </w:t>
      </w:r>
      <w:r/>
    </w:p>
    <w:p>
      <w:r/>
      <w:r>
        <w:t xml:space="preserve">……（其余3.2.2–3.2.11条均未列明任何具体价格、单位、币种或金额） </w:t>
      </w:r>
      <w:r/>
      <w:r/>
      <w:r/>
    </w:p>
    <w:p>
      <w:pPr>
        <w:pStyle w:val="ListBullet"/>
        <w:spacing w:line="240" w:lineRule="auto"/>
        <w:ind w:left="720"/>
      </w:pPr>
      <w:r/>
      <w:r>
        <w:rPr>
          <w:b/>
        </w:rPr>
        <w:t>所在位置</w:t>
      </w:r>
      <w:r>
        <w:t xml:space="preserve">：第三条“服务” → 3.2“服务费用”全节 </w:t>
      </w:r>
      <w:r/>
    </w:p>
    <w:p>
      <w:pPr>
        <w:pStyle w:val="ListBullet"/>
        <w:spacing w:line="240" w:lineRule="auto"/>
        <w:ind w:left="720"/>
      </w:pPr>
      <w:r/>
      <w:r>
        <w:rPr>
          <w:b/>
        </w:rPr>
        <w:t>问题分析</w:t>
      </w:r>
      <w:r>
        <w:t xml:space="preserve">：条款虽设“服务费用”专节，但通篇未约定任一服务项目的计价基础，既无单价（如每GB存储费、每核小时计算费）、亦无对应计量单位（如GB、vCPU·小时、实例数）、无明确总价（固定总价或上限金额）、无币种标识（人民币/美元等），亦未援引附件或其他可执行的价格依据。该等空白使合同缺乏对价合意的核心内容，无法满足合同成立要件，亦易引发结算争议、发票开具纠纷及违约责任认定困难。 </w:t>
      </w:r>
      <w:r/>
    </w:p>
    <w:p>
      <w:pPr>
        <w:pStyle w:val="ListBullet"/>
        <w:spacing w:line="240" w:lineRule="auto"/>
        <w:ind w:left="720"/>
      </w:pPr>
      <w:r/>
      <w:r>
        <w:rPr>
          <w:b/>
        </w:rPr>
        <w:t>法律依据</w:t>
      </w:r>
      <w:r>
        <w:t xml:space="preserve">：《中华人民共和国合同法》第十二条：“合同的内容由当事人约定，一般包括以下条款：……（五）价款或者报酬；……”；《民法典》第四百七十条（原《合同法》第十二条之延续）亦将“价款或者报酬”列为合同一般应具备的条款；司法实践中，缺乏明确价款条款可能被认定为合同内容不完整，影响合同成立或导致条款无效（参见《最高人民法院关于适用〈中华人民共和国民法典〉合同编通则若干问题的解释》第一条）。 </w:t>
      </w:r>
      <w:r/>
    </w:p>
    <w:p>
      <w:pPr>
        <w:pStyle w:val="ListBullet"/>
        <w:spacing w:line="240" w:lineRule="auto"/>
        <w:ind w:left="720"/>
      </w:pPr>
      <w:r/>
      <w:r>
        <w:rPr>
          <w:b/>
        </w:rPr>
        <w:t>修改建议</w:t>
      </w:r>
      <w:r>
        <w:t xml:space="preserve">： </w:t>
      </w:r>
      <w:r/>
    </w:p>
    <w:p>
      <w:r/>
      <w:r>
        <w:t xml:space="preserve">3.2 服务费用 </w:t>
      </w:r>
      <w:r/>
    </w:p>
    <w:p>
      <w:r/>
      <w:r>
        <w:t xml:space="preserve">3.2.1 本合同项下各项服务的具体价格、计量单位、币种及计费规则详见附件一《服务价格清单》，该清单构成本合同不可分割的组成部分。各服务项目价格要素如下： </w:t>
      </w:r>
      <w:r/>
    </w:p>
    <w:p>
      <w:r/>
      <w:r>
        <w:t>（1）服务名称：</w:t>
      </w:r>
      <w:r>
        <w:rPr>
          <w:b/>
          <w:i/>
        </w:rPr>
        <w:t>_</w:t>
      </w:r>
      <w:r>
        <w:rPr>
          <w:b/>
          <w:i/>
        </w:rPr>
        <w:t>_</w:t>
        <w:br/>
      </w:r>
      <w:r>
        <w:rPr>
          <w:b/>
        </w:rPr>
        <w:t>单价：人民币（大写）</w:t>
      </w:r>
      <w:r>
        <w:rPr>
          <w:b/>
          <w:i/>
        </w:rPr>
        <w:t>_</w:t>
      </w:r>
      <w:r>
        <w:rPr>
          <w:b/>
          <w:i/>
        </w:rPr>
        <w:t>_</w:t>
      </w:r>
      <w:r>
        <w:t>__元整（¥</w:t>
      </w:r>
      <w:r>
        <w:rPr>
          <w:b/>
          <w:i/>
        </w:rPr>
        <w:t>_</w:t>
      </w:r>
      <w:r>
        <w:rPr>
          <w:i/>
        </w:rPr>
        <w:t>.00）/【明确计量单位，如：GB/月、vCPU·小时、实例/年】</w:t>
        <w:br/>
      </w:r>
      <w:r>
        <w:rPr>
          <w:i/>
        </w:rPr>
        <w:t>总价（固定价/上限价）：人民币（大写）</w:t>
      </w:r>
      <w:r>
        <w:rPr>
          <w:b/>
          <w:i/>
        </w:rPr>
        <w:t>_</w:t>
      </w:r>
      <w:r>
        <w:rPr>
          <w:b/>
          <w:i/>
        </w:rPr>
        <w:t>_</w:t>
      </w:r>
      <w:r>
        <w:t>__元整（¥_____</w:t>
      </w:r>
      <w:r>
        <w:t>.00）</w:t>
        <w:br/>
      </w:r>
      <w:r>
        <w:t xml:space="preserve">币种：人民币（CNY） </w:t>
      </w:r>
      <w:r/>
    </w:p>
    <w:p>
      <w:r/>
      <w:r>
        <w:t>（2）服务名称：</w:t>
      </w:r>
      <w:r>
        <w:rPr>
          <w:b/>
          <w:i/>
        </w:rPr>
        <w:t>_</w:t>
      </w:r>
      <w:r>
        <w:rPr>
          <w:b/>
          <w:i/>
        </w:rPr>
        <w:t>_</w:t>
        <w:br/>
      </w:r>
      <w:r>
        <w:rPr>
          <w:b/>
        </w:rPr>
        <w:t>单价：人民币（大写）</w:t>
      </w:r>
      <w:r>
        <w:rPr>
          <w:b/>
          <w:i/>
        </w:rPr>
        <w:t>_</w:t>
      </w:r>
      <w:r>
        <w:rPr>
          <w:b/>
          <w:i/>
        </w:rPr>
        <w:t>_</w:t>
      </w:r>
      <w:r>
        <w:t>__元整（¥</w:t>
      </w:r>
      <w:r>
        <w:rPr>
          <w:b/>
          <w:i/>
        </w:rPr>
        <w:t>_</w:t>
      </w:r>
      <w:r>
        <w:rPr>
          <w:i/>
        </w:rPr>
        <w:t>.00）/【明确计量单位】</w:t>
        <w:br/>
      </w:r>
      <w:r>
        <w:rPr>
          <w:i/>
        </w:rPr>
        <w:t>总价（固定价/上限价）：人民币（大写）</w:t>
      </w:r>
      <w:r>
        <w:rPr>
          <w:b/>
          <w:i/>
        </w:rPr>
        <w:t>_</w:t>
      </w:r>
      <w:r>
        <w:rPr>
          <w:b/>
          <w:i/>
        </w:rPr>
        <w:t>_</w:t>
      </w:r>
      <w:r>
        <w:t>__元整（¥_____</w:t>
      </w:r>
      <w:r>
        <w:t>.00）</w:t>
        <w:br/>
      </w:r>
      <w:r>
        <w:t xml:space="preserve">币种：人民币（CNY） </w:t>
      </w:r>
      <w:r/>
    </w:p>
    <w:p>
      <w:r/>
      <w:r>
        <w:t>3.2.2 上述价格均为含税价，腾讯云应依国家规定向甲方开具合法有效的增值税专用发票。如遇国家税率调整，双方应就价格是否相应调整另行签署书面补充协议；未达成一致前，按原价格执行。</w:t>
      </w:r>
      <w:r/>
      <w:r/>
      <w:r/>
      <w:r/>
    </w:p>
    <w:p>
      <w:pPr>
        <w:pStyle w:val="Heading4"/>
      </w:pPr>
      <w:r>
        <w:t>检查要点 2.4：付款计划：要有明确节点确认付款，应预留一部分金额待免费维保期结束后支付，且明确发票类型</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设置基于服务阶段或交付成果的付款节点，缺乏验收触发机制；全文未约定免费维保期及相应期限，亦未预留任何质量保证金或尾款待维保期届满后支付；虽明确要求开具增值税专用发票，但该要素无法弥补付款结构在节点控制与风险分担机制上的根本性缺失。 </w:t>
      </w:r>
      <w:r/>
    </w:p>
    <w:p>
      <w:pPr>
        <w:pStyle w:val="ListBullet"/>
        <w:spacing w:line="240" w:lineRule="auto"/>
        <w:ind w:left="720"/>
      </w:pPr>
      <w:r/>
      <w:r>
        <w:rPr>
          <w:b/>
        </w:rPr>
        <w:t>原文引用</w:t>
      </w:r>
      <w:r>
        <w:t xml:space="preserve">： </w:t>
      </w:r>
      <w:r/>
    </w:p>
    <w:p>
      <w:r/>
      <w:r>
        <w:t xml:space="preserve">"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 </w:t>
      </w:r>
      <w:r/>
    </w:p>
    <w:p>
      <w:r/>
      <w:r>
        <w:t xml:space="preserve">"甲方后付费的，根据合同约定甲方在该服务的服务规则确定的付款期限内支付费用。服务规则未明确付款期限的，甲方应每个月自确认账单并收到发票之日起 30个工作日内向乙方付款。双方另有约定的依其约定。" </w:t>
      </w:r>
      <w:r/>
    </w:p>
    <w:p>
      <w:r/>
      <w:r>
        <w:t xml:space="preserve">"付款时，乙方应开具付款通知和应付款项的等额增值税专用发票，甲方在收到乙方付款通知和发票，并核实无误后30个工作日内向乙方支付与发票金额等额的款项，乙方迟延送达付款通知或发票的，甲方的付款义务相应顺延。" </w:t>
      </w:r>
      <w:r/>
      <w:r/>
      <w:r/>
    </w:p>
    <w:p>
      <w:pPr>
        <w:pStyle w:val="ListBullet"/>
        <w:spacing w:line="240" w:lineRule="auto"/>
        <w:ind w:left="720"/>
      </w:pPr>
      <w:r/>
      <w:r>
        <w:rPr>
          <w:b/>
        </w:rPr>
        <w:t>所在位置</w:t>
      </w:r>
      <w:r>
        <w:t xml:space="preserve">：附件一《合同内容清单》三、商务要求 第1、2、4点 </w:t>
      </w:r>
      <w:r/>
    </w:p>
    <w:p>
      <w:pPr>
        <w:pStyle w:val="ListBullet"/>
        <w:spacing w:line="240" w:lineRule="auto"/>
        <w:ind w:left="720"/>
      </w:pPr>
      <w:r/>
      <w:r>
        <w:rPr>
          <w:b/>
        </w:rPr>
        <w:t>问题分析</w:t>
      </w:r>
      <w:r>
        <w:t xml:space="preserve">：当前付款安排完全依赖月度运营账单，属于持续性服务费用结算逻辑，不适用于具有明确交付成果与验收环节的信息技术服务项目；未设定任何与服务开通、配置完成、试运行、终验等关键里程碑挂钩的付款条件，导致甲方缺乏对乙方履约质量的过程管控手段；合同中无“维保”“质保”“免费维护”等表述，“3.3 服务支持”所载7×24热线及工单服务不构成法律意义上的维保义务，亦未对应资金保障安排；缺乏质量保证金机制，使甲方在服务缺陷暴露滞后情形下丧失有效救济抓手。 </w:t>
      </w:r>
      <w:r/>
    </w:p>
    <w:p>
      <w:pPr>
        <w:pStyle w:val="ListBullet"/>
        <w:spacing w:line="240" w:lineRule="auto"/>
        <w:ind w:left="720"/>
      </w:pPr>
      <w:r/>
      <w:r>
        <w:rPr>
          <w:b/>
        </w:rPr>
        <w:t>法律依据</w:t>
      </w:r>
      <w:r>
        <w:t xml:space="preserve">：《保障中小企业款项支付条例》第二条规定：“大型企业从中小企业采购货物、工程、服务，应当自货物、工程、服务交付之日起60日内支付款项；合同另有约定的，从其约定，但应当按照行业规范、交易习惯合理确定。”《民法典》第五百零九条强调当事人应遵循诚信原则，根据合同性质、目的和交易习惯履行通知、协助、保密等义务；《信息技术服务标准（ITSS）》及行业实践普遍要求对项目制技术服务设置阶段性付款、终验条款及不少于12个月的免费维保期，并预留5%–10%合同金额作为质量保证金。 </w:t>
      </w:r>
      <w:r/>
    </w:p>
    <w:p>
      <w:pPr>
        <w:pStyle w:val="ListBullet"/>
        <w:spacing w:line="240" w:lineRule="auto"/>
        <w:ind w:left="720"/>
      </w:pPr>
      <w:r/>
      <w:r>
        <w:rPr>
          <w:b/>
        </w:rPr>
        <w:t>修改建议</w:t>
      </w:r>
      <w:r>
        <w:t xml:space="preserve">： </w:t>
      </w:r>
      <w:r/>
    </w:p>
    <w:p>
      <w:r/>
      <w:r>
        <w:t>“本合同采用节点式付款方式，具体如下：（1）合同生效且乙方完成全部前期准备工作（含环境适配、账号开通、安全策略配置）并经甲方书面确认后5个工作日内，甲方向乙方支付合同总金额的30%作为预付款；（2）CDN服务正式上线运行满30日且通过甲方初步验收（以签署《初步验收报告》为准）后5个工作日内，甲方向乙方支付合同总金额的40%；（3）服务连续稳定运行满6个月，并通过甲方最终验收（以签署《最终验收报告》为准）后5个工作日内，甲方向乙方支付合同总金额的25%；（4）剩余5%作为质量保证金，在免费维保期（自最终验收合格之日起12个月）届满、乙方已全面履行维保义务且无未决质量争议的前提下，甲方于届满后5个工作日内一次性无息付清。乙方每次申请付款前，须向甲方提交符合国家税务规定的等额合法有效的增值税专用发票。”</w:t>
      </w:r>
      <w:r/>
      <w:r/>
      <w:r/>
      <w:r/>
    </w:p>
    <w:p>
      <w:pPr>
        <w:pStyle w:val="Heading3"/>
      </w:pPr>
      <w:r>
        <w:t>（三）其他基本问题</w:t>
      </w:r>
      <w:r/>
    </w:p>
    <w:p>
      <w:pPr>
        <w:pStyle w:val="Heading4"/>
      </w:pPr>
      <w:r>
        <w:t>检查要点 3.1：校验相同条款在正文与附件中约定是否一致</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：合同正文与附件在“天”的定义、服务可用性标准、服务开通日期记录主体等方面存在多处实质性不一致，易引发履约争议、验收分歧及计费起始时间认定风险，影响合同整体可执行性与法律确定性。 </w:t>
      </w:r>
      <w:r/>
    </w:p>
    <w:p>
      <w:pPr>
        <w:pStyle w:val="ListBullet"/>
        <w:spacing w:line="240" w:lineRule="auto"/>
        <w:ind w:left="720"/>
      </w:pPr>
      <w:r/>
      <w:r>
        <w:rPr>
          <w:b/>
        </w:rPr>
        <w:t>原文引用</w:t>
      </w:r>
      <w:r>
        <w:t xml:space="preserve">： </w:t>
      </w:r>
      <w:r/>
    </w:p>
    <w:p>
      <w:r/>
      <w:r>
        <w:t xml:space="preserve">14.2 除非另有说明，本协议正文及其附件中所有的“天”均为自然日，结算货币均为人民币。 </w:t>
      </w:r>
      <w:r/>
      <w:r/>
      <w:r/>
    </w:p>
    <w:p>
      <w:pPr>
        <w:pStyle w:val="ListBullet"/>
        <w:spacing w:line="240" w:lineRule="auto"/>
        <w:ind w:left="720"/>
      </w:pPr>
      <w:r/>
      <w:r>
        <w:rPr>
          <w:b/>
        </w:rPr>
        <w:t>所在位置</w:t>
      </w:r>
      <w:r>
        <w:t xml:space="preserve">：正文第十四条第14.2款 </w:t>
      </w:r>
      <w:r/>
    </w:p>
    <w:p>
      <w:pPr>
        <w:pStyle w:val="ListBullet"/>
        <w:spacing w:line="240" w:lineRule="auto"/>
        <w:ind w:left="720"/>
      </w:pPr>
      <w:r/>
      <w:r>
        <w:rPr>
          <w:b/>
        </w:rPr>
        <w:t>问题分析</w:t>
      </w:r>
      <w:r>
        <w:t xml:space="preserve">：正文第14.2款统一将“天”界定为自然日，但附件一、附件二、附件三中多次使用“工作日”（如“5个工作日内”“30个工作日内”“三个工作日内”），未作特别说明或排除适用，构成与正文的直接冲突；附件一对服务可用性约定为“不低于99%”，附件二则约定为“达到99.9%”，标准差异达0.9个百分点，显著影响服务达标判定与违约责任认定；附件一规定服务开通日期“以甲方系统记录时间为准”，附件三规定“以乙方系统记录时间为准”，记录主体相悖，可能导致计费起算、履约期限起算等关键时点无法确定。 </w:t>
      </w:r>
      <w:r/>
    </w:p>
    <w:p>
      <w:pPr>
        <w:pStyle w:val="ListBullet"/>
        <w:spacing w:line="240" w:lineRule="auto"/>
        <w:ind w:left="720"/>
      </w:pPr>
      <w:r/>
      <w:r>
        <w:rPr>
          <w:b/>
        </w:rPr>
        <w:t>法律依据</w:t>
      </w:r>
      <w:r>
        <w:t xml:space="preserve">：《中华人民共和国民法典》第四百六十九条（书面形式效力）、第四百七十条（争议条款解释规则）、第五百一十条（约定不明时的补缺规则）；根据前述规定，附件与正文具有同等法律效力，内容冲突时应依合同目的、交易习惯及诚实信用原则予以解释，但解释过程将增加履约不确定性与司法裁量风险。 </w:t>
      </w:r>
      <w:r/>
    </w:p>
    <w:p>
      <w:pPr>
        <w:pStyle w:val="ListBullet"/>
        <w:spacing w:line="240" w:lineRule="auto"/>
        <w:ind w:left="720"/>
      </w:pPr>
      <w:r/>
      <w:r>
        <w:rPr>
          <w:b/>
        </w:rPr>
        <w:t>修改建议</w:t>
      </w:r>
      <w:r>
        <w:t xml:space="preserve">： </w:t>
      </w:r>
      <w:r/>
    </w:p>
    <w:p>
      <w:r/>
      <w:r>
        <w:t xml:space="preserve">14.2 除非另有说明，本协议正文及其附件中所有的“天”均为自然日，结算货币均为人民币；但附件一、附件二、附件三中明确表述为“工作日”的期限（如“5个工作日内”“30个工作日内”“三个工作日内”等），特指国务院公布的法定工作日，不适用本款关于“自然日”的一般性约定。 </w:t>
      </w:r>
      <w:r/>
      <w:r/>
      <w:r/>
      <w:r/>
    </w:p>
    <w:p>
      <w:pPr>
        <w:pStyle w:val="Heading4"/>
      </w:pPr>
      <w:r>
        <w:t>检查要点 3.1：校验相同条款在正文与附件中约定是否一致</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：服务可用性标准在附件一与附件二中存在明确数值冲突（99% vs 99.9%），且二者分属“验收要求”与“服务保证”不同功能模块，缺乏正文统一指引，将导致验收合格与否、违约责任触发条件等核心义务认定失据。 </w:t>
      </w:r>
      <w:r/>
    </w:p>
    <w:p>
      <w:pPr>
        <w:pStyle w:val="ListBullet"/>
        <w:spacing w:line="240" w:lineRule="auto"/>
        <w:ind w:left="720"/>
      </w:pPr>
      <w:r/>
      <w:r>
        <w:rPr>
          <w:b/>
        </w:rPr>
        <w:t>原文引用</w:t>
      </w:r>
      <w:r>
        <w:t xml:space="preserve">： </w:t>
      </w:r>
      <w:r/>
    </w:p>
    <w:p>
      <w:r/>
      <w:r>
        <w:t xml:space="preserve">附件一 二、验收要求 1. CDN加速后，全国范围内用户访问甲方互联网类系统可用性不低于99%。 </w:t>
      </w:r>
      <w:r/>
    </w:p>
    <w:p>
      <w:r/>
      <w:r>
        <w:t xml:space="preserve">附件二 四、服务可用性保证 1. 乙方保证甲方购买的服务的“服务可用性”达到99.9%，即每月服务不可用时间累计小于44分钟。 </w:t>
      </w:r>
      <w:r/>
      <w:r/>
      <w:r/>
    </w:p>
    <w:p>
      <w:pPr>
        <w:pStyle w:val="ListBullet"/>
        <w:spacing w:line="240" w:lineRule="auto"/>
        <w:ind w:left="720"/>
      </w:pPr>
      <w:r/>
      <w:r>
        <w:rPr>
          <w:b/>
        </w:rPr>
        <w:t>所在位置</w:t>
      </w:r>
      <w:r>
        <w:t xml:space="preserve">：附件一“二、验收要求”第1款；附件二“四、服务可用性保证”第1款 </w:t>
      </w:r>
      <w:r/>
    </w:p>
    <w:p>
      <w:pPr>
        <w:pStyle w:val="ListBullet"/>
        <w:spacing w:line="240" w:lineRule="auto"/>
        <w:ind w:left="720"/>
      </w:pPr>
      <w:r/>
      <w:r>
        <w:rPr>
          <w:b/>
        </w:rPr>
        <w:t>问题分析</w:t>
      </w:r>
      <w:r>
        <w:t xml:space="preserve">：附件一作为服务交付与验收依据，将可用性设为99%；附件二作为服务性能承诺文件，设定更高标准99.9%。二者未在正文中明确优先适用关系或统一基准，亦未说明99%是否为最低门槛、99.9%是否为承诺上限，易被解释为乙方承担双重标准，或引发甲方以较低标准主张验收合格、乙方以较高标准抗辩免责的对立理解。 </w:t>
      </w:r>
      <w:r/>
    </w:p>
    <w:p>
      <w:pPr>
        <w:pStyle w:val="ListBullet"/>
        <w:spacing w:line="240" w:lineRule="auto"/>
        <w:ind w:left="720"/>
      </w:pPr>
      <w:r/>
      <w:r>
        <w:rPr>
          <w:b/>
        </w:rPr>
        <w:t>法律依据</w:t>
      </w:r>
      <w:r>
        <w:t xml:space="preserve">：《中华人民共和国民法典》第四百七十条：“当事人对合同条款的理解有争议的，应当按照合同所使用的词句、合同的有关条款、合同的目的、交易习惯以及诚实信用原则确定该条款的真实意思。” </w:t>
      </w:r>
      <w:r/>
    </w:p>
    <w:p>
      <w:pPr>
        <w:pStyle w:val="ListBullet"/>
        <w:spacing w:line="240" w:lineRule="auto"/>
        <w:ind w:left="720"/>
      </w:pPr>
      <w:r/>
      <w:r>
        <w:rPr>
          <w:b/>
        </w:rPr>
        <w:t>修改建议</w:t>
      </w:r>
      <w:r>
        <w:t xml:space="preserve">： </w:t>
      </w:r>
      <w:r/>
    </w:p>
    <w:p>
      <w:r/>
      <w:r>
        <w:t xml:space="preserve">附件一 二、验收要求 1. CDN加速后，全国范围内用户访问甲方互联网类系统可用性不低于99.9%。 </w:t>
      </w:r>
      <w:r/>
    </w:p>
    <w:p>
      <w:r/>
      <w:r>
        <w:t xml:space="preserve">附件二 四、服务可用性保证 1. 乙方保证甲方购买的服务的“服务可用性”达到99.9%，即每月服务不可用时间累计小于44分钟；该标准同时作为本协议项下服务验收的最低合格标准。 </w:t>
      </w:r>
      <w:r/>
      <w:r/>
      <w:r/>
      <w:r/>
    </w:p>
    <w:p>
      <w:pPr>
        <w:pStyle w:val="Heading4"/>
      </w:pPr>
      <w:r>
        <w:t>检查要点 3.1：校验相同条款在正文与附件中约定是否一致</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：服务开通日期的记录主体在附件一与附件三中约定相反（甲方系统 vs 乙方系统），虽未直接涉及服务质量或付款条件，但将实质性影响计费起始日、服务履行起算点等时间节点的客观认定，存在单方控制记录、举证困难及争议延宕风险。 </w:t>
      </w:r>
      <w:r/>
    </w:p>
    <w:p>
      <w:pPr>
        <w:pStyle w:val="ListBullet"/>
        <w:spacing w:line="240" w:lineRule="auto"/>
        <w:ind w:left="720"/>
      </w:pPr>
      <w:r/>
      <w:r>
        <w:rPr>
          <w:b/>
        </w:rPr>
        <w:t>原文引用</w:t>
      </w:r>
      <w:r>
        <w:t xml:space="preserve">： </w:t>
      </w:r>
      <w:r/>
    </w:p>
    <w:p>
      <w:r/>
      <w:r>
        <w:t xml:space="preserve">附件一 三、商务要求 6. 上述服务的开通日期，指乙方为甲方开通CDN服务的日期，服务开通日期以甲方系统记录时间为准。计费开始日期指甲方应当依约向乙方支付服务费的起算时间。服务开通日期原则上与计费开始日期一致，双方另行约定的除外。 </w:t>
      </w:r>
      <w:r/>
    </w:p>
    <w:p>
      <w:r/>
      <w:r>
        <w:t xml:space="preserve">附件三 第三条 加速区域及范围等服务内容 2. 服务开通日期：指乙方为甲方开通CDN服务的日期，服务开通日期以乙方系统记录时间为准。 </w:t>
      </w:r>
      <w:r/>
      <w:r/>
      <w:r/>
    </w:p>
    <w:p>
      <w:pPr>
        <w:pStyle w:val="ListBullet"/>
        <w:spacing w:line="240" w:lineRule="auto"/>
        <w:ind w:left="720"/>
      </w:pPr>
      <w:r/>
      <w:r>
        <w:rPr>
          <w:b/>
        </w:rPr>
        <w:t>所在位置</w:t>
      </w:r>
      <w:r>
        <w:t xml:space="preserve">：附件一“三、商务要求”第6款；附件三“第三条”第2款 </w:t>
      </w:r>
      <w:r/>
    </w:p>
    <w:p>
      <w:pPr>
        <w:pStyle w:val="ListBullet"/>
        <w:spacing w:line="240" w:lineRule="auto"/>
        <w:ind w:left="720"/>
      </w:pPr>
      <w:r/>
      <w:r>
        <w:rPr>
          <w:b/>
        </w:rPr>
        <w:t>问题分析</w:t>
      </w:r>
      <w:r>
        <w:t xml:space="preserve">：两附件对同一术语“服务开通日期”赋予截然不同的记录主体，且未设置交叉核验、异议期或第三方确认机制。若双方系统记录时间不一致，将直接导致计费起始日、服务质保期起算、违约金计算基数等衍生义务发生分歧，削弱合同履行的可预期性。 </w:t>
      </w:r>
      <w:r/>
    </w:p>
    <w:p>
      <w:pPr>
        <w:pStyle w:val="ListBullet"/>
        <w:spacing w:line="240" w:lineRule="auto"/>
        <w:ind w:left="720"/>
      </w:pPr>
      <w:r/>
      <w:r>
        <w:rPr>
          <w:b/>
        </w:rPr>
        <w:t>法律依据</w:t>
      </w:r>
      <w:r>
        <w:t xml:space="preserve">：《中华人民共和国民法典》第五百一十条：“合同生效后，当事人就质量、价款或者报酬、履行地点等内容没有约定或者约定不明确的，可以协议补充；不能达成补充协议的，按照合同相关条款、合同性质、目的或者交易习惯确定。” </w:t>
      </w:r>
      <w:r/>
    </w:p>
    <w:p>
      <w:pPr>
        <w:pStyle w:val="ListBullet"/>
        <w:spacing w:line="240" w:lineRule="auto"/>
        <w:ind w:left="720"/>
      </w:pPr>
      <w:r/>
      <w:r>
        <w:rPr>
          <w:b/>
        </w:rPr>
        <w:t>修改建议</w:t>
      </w:r>
      <w:r>
        <w:t xml:space="preserve">： </w:t>
      </w:r>
      <w:r/>
    </w:p>
    <w:p>
      <w:r/>
      <w:r>
        <w:t xml:space="preserve">附件一 三、商务要求 6. 上述服务的开通日期，指乙方为甲方开通CDN服务的日期，服务开通日期以乙方系统记录时间为准；甲方有权在收到开通通知后2个工作日内通过书面方式提出异议，逾期未提出视为确认。计费开始日期指甲方应当依约向乙方支付服务费的起算时间。服务开通日期原则上与计费开始日期一致，双方另行约定的除外。 </w:t>
      </w:r>
      <w:r/>
    </w:p>
    <w:p>
      <w:r/>
      <w:r>
        <w:t>附件三 第三条 加速区域及范围等服务内容 2. 服务开通日期：指乙方为甲方开通CDN服务的日期，服务开通日期以乙方系统记录时间为准；乙方应在开通完成后1小时内向甲方发送加盖电子签章的《服务开通确认单》，载明开通时间、配置参数及系统截图等可验证信息。</w:t>
      </w:r>
      <w:r/>
      <w:r/>
      <w:r/>
      <w:r/>
    </w:p>
    <w:p>
      <w:pPr>
        <w:pStyle w:val="Heading4"/>
      </w:pPr>
      <w:r>
        <w:t>检查要点 3.2：校验是否出现招标单位、谈判单位等其他流程中相关用语</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：合同首部引言段使用“公开招标编号”及“乙方投标承诺”等招投标程序专属术语，与本合同作为已签署的正式采购合同的法律性质不符，存在混淆签约阶段、弱化合同独立合意效力的风险。 </w:t>
      </w:r>
      <w:r/>
    </w:p>
    <w:p>
      <w:pPr>
        <w:pStyle w:val="ListBullet"/>
        <w:spacing w:line="240" w:lineRule="auto"/>
        <w:ind w:left="720"/>
      </w:pPr>
      <w:r/>
      <w:r>
        <w:rPr>
          <w:b/>
        </w:rPr>
        <w:t>原文引用</w:t>
      </w:r>
      <w:r>
        <w:t xml:space="preserve">： </w:t>
      </w:r>
      <w:r/>
    </w:p>
    <w:p>
      <w:r/>
      <w:r>
        <w:t xml:space="preserve">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 </w:t>
      </w:r>
      <w:r/>
      <w:r/>
      <w:r/>
    </w:p>
    <w:p>
      <w:pPr>
        <w:pStyle w:val="ListBullet"/>
        <w:spacing w:line="240" w:lineRule="auto"/>
        <w:ind w:left="720"/>
      </w:pPr>
      <w:r/>
      <w:r>
        <w:rPr>
          <w:b/>
        </w:rPr>
        <w:t>所在位置</w:t>
      </w:r>
      <w:r>
        <w:t xml:space="preserve">：合同首部引言段（签约依据说明部分） </w:t>
      </w:r>
      <w:r/>
    </w:p>
    <w:p>
      <w:pPr>
        <w:pStyle w:val="ListBullet"/>
        <w:spacing w:line="240" w:lineRule="auto"/>
        <w:ind w:left="720"/>
      </w:pPr>
      <w:r/>
      <w:r>
        <w:rPr>
          <w:b/>
        </w:rPr>
        <w:t>问题分析</w:t>
      </w:r>
      <w:r>
        <w:t xml:space="preserve">：“公开招标编号”“投标承诺”系招投标程序中用于标书编制、开评标及中标通知环节的阶段性表述，不适用于已成立并签署的民事合同文本。在正式合同中沿用此类术语，易导致外部理解偏差，误认为合同尚未完成法定缔约程序，或被质疑合同内容系对投标文件的机械转录，进而影响合同意思表示的真实性、完整性及法律稳定性。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招标投标法》第四十六条：“招标人和中标人应当自中标通知书发出之日起三十日内，按照招标文件和中标人的投标文件订立书面合同。”——明确中标通知书为签订正式合同的前提，合同文本应以中标结果为依据，而非继续援引投标阶段文件； </w:t>
      </w:r>
      <w:r/>
    </w:p>
    <w:p>
      <w:pPr>
        <w:pStyle w:val="ListBullet"/>
        <w:spacing w:line="240" w:lineRule="auto"/>
        <w:ind w:left="720"/>
      </w:pPr>
      <w:r/>
      <w:r>
        <w:t xml:space="preserve">《中华人民共和国民法典》第一百四十三条：“具备下列条件的民事法律行为有效：（一）行为人具有相应的民事行为能力；（二）意思表示真实；（三）不违反法律、行政法规的强制性规定，不违背公序良俗。”——不当使用程序性术语可能削弱“意思表示真实”要件的外观证明力。 </w:t>
      </w:r>
      <w:r/>
    </w:p>
    <w:p>
      <w:pPr>
        <w:pStyle w:val="ListBullet"/>
        <w:spacing w:line="240" w:lineRule="auto"/>
        <w:ind w:left="720"/>
      </w:pPr>
      <w:r/>
      <w:r>
        <w:rPr>
          <w:b/>
        </w:rPr>
        <w:t>修改建议</w:t>
      </w:r>
      <w:r>
        <w:t xml:space="preserve">： </w:t>
      </w:r>
      <w:r/>
    </w:p>
    <w:p>
      <w:r/>
      <w:r>
        <w:t>根据浙江农村商业联合银行股份有限公司互联网类系统CDN加速服务项目（三年）采购的中标结果（中标通知书编号：ZRUB-2025-06-03-08-C002），以及乙方在投标文件中所作实质性响应与承诺，按照《中华人民共和国民法典》等法律法规的规定，甲、乙双方本着平等、自愿、诚实信用原则，经充分协商，就甲方向乙方采购互联网类系统CDN加速服务项目（三年）事宜订立本合同，以兹双方共同遵守。</w:t>
      </w:r>
      <w:r/>
      <w:r/>
      <w:r/>
      <w:r/>
    </w:p>
    <w:p>
      <w:pPr>
        <w:pStyle w:val="Heading4"/>
      </w:pPr>
      <w:r>
        <w:t>检查要点 3.3：合同主体名称和签订主体名称首尾须保持一致</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乙方名称在合同首部存在括号格式不一致问题，即“乙方：”处使用英文半角括号“(北京)”，而“账户：”处使用中文全角括号“（北京）”，导致同一签约主体名称呈现两种形式，违反主体名称须全程统一的规范要求。 </w:t>
      </w:r>
      <w:r/>
    </w:p>
    <w:p>
      <w:pPr>
        <w:pStyle w:val="ListBullet"/>
        <w:spacing w:line="240" w:lineRule="auto"/>
        <w:ind w:left="720"/>
      </w:pPr>
      <w:r/>
      <w:r>
        <w:rPr>
          <w:b/>
        </w:rPr>
        <w:t>原文引用</w:t>
      </w:r>
      <w:r>
        <w:t xml:space="preserve">： </w:t>
      </w:r>
      <w:r/>
    </w:p>
    <w:p>
      <w:r/>
      <w:r>
        <w:t xml:space="preserve">乙方：腾讯云计算(北京)有限责任公司 </w:t>
      </w:r>
      <w:r/>
    </w:p>
    <w:p>
      <w:r/>
      <w:r>
        <w:t xml:space="preserve">账户：腾讯云计算（北京）有限责任公司 </w:t>
      </w:r>
      <w:r/>
      <w:r/>
      <w:r/>
    </w:p>
    <w:p>
      <w:pPr>
        <w:pStyle w:val="ListBullet"/>
        <w:spacing w:line="240" w:lineRule="auto"/>
        <w:ind w:left="720"/>
      </w:pPr>
      <w:r/>
      <w:r>
        <w:rPr>
          <w:b/>
        </w:rPr>
        <w:t>所在位置</w:t>
      </w:r>
      <w:r>
        <w:t xml:space="preserve">：合同首部“乙方信息”条款项下 </w:t>
      </w:r>
      <w:r/>
    </w:p>
    <w:p>
      <w:pPr>
        <w:pStyle w:val="ListBullet"/>
        <w:spacing w:line="240" w:lineRule="auto"/>
        <w:ind w:left="720"/>
      </w:pPr>
      <w:r/>
      <w:r>
        <w:rPr>
          <w:b/>
        </w:rPr>
        <w:t>问题分析</w:t>
      </w:r>
      <w:r>
        <w:t xml:space="preserve">：合同主体名称作为识别缔约方唯一性的核心要素，其文字、标点、空格、括号类型等均应严格统一。中英文括号虽语义相同，但在法律文书语境中属于不同字符编码（ASCII vs Unicode），构成形式瑕疵，可能引发对合同签署主体同一性的质疑，影响证据效力及后续争议解决中的举证严谨性。 </w:t>
      </w:r>
      <w:r/>
    </w:p>
    <w:p>
      <w:pPr>
        <w:pStyle w:val="ListBullet"/>
        <w:spacing w:line="240" w:lineRule="auto"/>
        <w:ind w:left="720"/>
      </w:pPr>
      <w:r/>
      <w:r>
        <w:rPr>
          <w:b/>
        </w:rPr>
        <w:t>法律依据</w:t>
      </w:r>
      <w:r>
        <w:t xml:space="preserve">：《中华人民共和国民法典》第四百七十条第一款第一项：“合同的内容由当事人约定，一般包括下列条款：（一）当事人的姓名或者名称和住所……”；《最高人民法院关于民事诉讼证据的若干规定》第九十条：“下列证据不能单独作为认定案件事实的根据：……（三）无法与原件、原物核对的复制件、复制品。”——名称不一致可能削弱合同文本作为原始书证的完整性与可信度。 </w:t>
      </w:r>
      <w:r/>
    </w:p>
    <w:p>
      <w:pPr>
        <w:pStyle w:val="ListBullet"/>
        <w:spacing w:line="240" w:lineRule="auto"/>
        <w:ind w:left="720"/>
      </w:pPr>
      <w:r/>
      <w:r>
        <w:rPr>
          <w:b/>
        </w:rPr>
        <w:t>修改建议</w:t>
      </w:r>
      <w:r>
        <w:t xml:space="preserve">： </w:t>
      </w:r>
      <w:r/>
    </w:p>
    <w:p>
      <w:r/>
      <w:r>
        <w:t xml:space="preserve">乙方：腾讯云计算（北京）有限责任公司 </w:t>
      </w:r>
      <w:r/>
    </w:p>
    <w:p>
      <w:r/>
      <w:r>
        <w:t>账户：腾讯云计算（北京）有限责任公司</w:t>
      </w:r>
      <w:r/>
      <w:r/>
      <w:r/>
      <w:r/>
    </w:p>
    <w:p>
      <w:pPr>
        <w:pStyle w:val="Heading4"/>
      </w:pPr>
      <w:r>
        <w:t>检查要点 3.4：援引法律校验是否有效</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：合同第13.2条使用“中国大陆法律法规（不包括冲突法）”作为准据法表述，存在术语不规范、效力范围不明确、排除冲突规范不当等问题，影响法律适用条款的严谨性、确定性与司法可执行性。 </w:t>
      </w:r>
      <w:r/>
    </w:p>
    <w:p>
      <w:pPr>
        <w:pStyle w:val="ListBullet"/>
        <w:spacing w:line="240" w:lineRule="auto"/>
        <w:ind w:left="720"/>
      </w:pPr>
      <w:r/>
      <w:r>
        <w:rPr>
          <w:b/>
        </w:rPr>
        <w:t>原文引用</w:t>
      </w:r>
      <w:r>
        <w:t xml:space="preserve">： </w:t>
      </w:r>
      <w:r/>
    </w:p>
    <w:p>
      <w:r/>
      <w:r>
        <w:t xml:space="preserve">13.2 本协议的成立、生效、履行、解释及纠纷解决等，均适用中国大陆法律法规（不包括冲突法）。 </w:t>
      </w:r>
      <w:r/>
      <w:r/>
      <w:r/>
    </w:p>
    <w:p>
      <w:pPr>
        <w:pStyle w:val="ListBullet"/>
        <w:spacing w:line="240" w:lineRule="auto"/>
        <w:ind w:left="720"/>
      </w:pPr>
      <w:r/>
      <w:r>
        <w:rPr>
          <w:b/>
        </w:rPr>
        <w:t>所在位置</w:t>
      </w:r>
      <w:r>
        <w:t xml:space="preserve">：第十三条第13.2款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中国大陆法律法规”非我国法定法律术语，不符合《立法法》《涉外民事关系法律适用法》等上位法对法律渊源的规范表述；正式法律用语应为“中华人民共和国法律”，其内涵涵盖宪法、法律、行政法规、司法解释等具有普遍约束力的规范性文件。 </w:t>
      </w:r>
      <w:r/>
    </w:p>
    <w:p>
      <w:pPr>
        <w:pStyle w:val="ListBullet"/>
        <w:spacing w:line="240" w:lineRule="auto"/>
        <w:ind w:left="720"/>
      </w:pPr>
      <w:r/>
      <w:r>
        <w:t xml:space="preserve">单方排除“冲突法”缺乏法律依据且逻辑矛盾：《中华人民共和国涉外民事关系法律适用法》系全国人大常委会制定的法律，属于实体法体系中的专门冲突规范，本身即属“中华人民共和国法律”范畴；若在准据法条款中将其排除，将导致涉外因素出现时法律适用规则缺位，违反《涉外民事关系法律适用法》第二条关于“涉外民事关系适用的法律依照本法确定”的强制性规定。 </w:t>
      </w:r>
      <w:r/>
    </w:p>
    <w:p>
      <w:pPr>
        <w:pStyle w:val="ListBullet"/>
        <w:spacing w:line="240" w:lineRule="auto"/>
        <w:ind w:left="720"/>
      </w:pPr>
      <w:r/>
      <w:r>
        <w:t xml:space="preserve">合同未明确当事人主体性质及连接点，无法排除涉外情形适用可能；根据《最高人民法院关于适用〈中华人民共和国涉外民事关系法律适用法〉若干问题的解释（一）》第一条，一方为境外主体、经常居所地在域外、标的物或法律事实在域外等情形均构成涉外民事关系，故须保留冲突规范的适用空间。 </w:t>
      </w:r>
      <w:r/>
    </w:p>
    <w:p>
      <w:pPr>
        <w:pStyle w:val="ListBullet"/>
        <w:spacing w:line="240" w:lineRule="auto"/>
        <w:ind w:left="720"/>
      </w:pPr>
      <w:r/>
      <w:r>
        <w:t xml:space="preserve">“法律法规”未明确是否包含司法解释、部门规章及地方性法规，易引发效力层级争议；依据《立法法》第八十七条，司法解释虽非立法形式，但在审判实践中具有普遍适用效力，应予明示纳入适用范围。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《中华人民共和国立法法》第八十七条：“宪法具有最高的法律效力，一切法律、行政法规、地方性法规、自治条例和单行条例、规章都不得同宪法相抵触。” </w:t>
      </w:r>
      <w:r/>
    </w:p>
    <w:p>
      <w:pPr>
        <w:pStyle w:val="ListBullet"/>
        <w:spacing w:line="240" w:lineRule="auto"/>
        <w:ind w:left="720"/>
      </w:pPr>
      <w:r/>
      <w:r>
        <w:t xml:space="preserve">《中华人民共和国涉外民事关系法律适用法》第二条：“涉外民事关系适用的法律，依照本法确定。其他法律对涉外民事关系法律适用另有特别规定的，依照其规定。” </w:t>
      </w:r>
      <w:r/>
    </w:p>
    <w:p>
      <w:pPr>
        <w:pStyle w:val="ListBullet"/>
        <w:spacing w:line="240" w:lineRule="auto"/>
        <w:ind w:left="720"/>
      </w:pPr>
      <w:r/>
      <w:r>
        <w:t xml:space="preserve">《中华人民共和国涉外民事关系法律适用法》第三条：“当事人依照法律规定可以明示选择涉外民事关系适用的法律……中华人民共和国法律对涉外民事关系有强制性规定的，直接适用该强制性规定。” </w:t>
      </w:r>
      <w:r/>
    </w:p>
    <w:p>
      <w:pPr>
        <w:pStyle w:val="ListBullet"/>
        <w:spacing w:line="240" w:lineRule="auto"/>
        <w:ind w:left="720"/>
      </w:pPr>
      <w:r/>
      <w:r>
        <w:t xml:space="preserve">《最高人民法院关于适用〈中华人民共和国涉外民事关系法律适用法〉若干问题的解释（一）》第一条：明确涉外民事关系的五类法定认定标准。 </w:t>
      </w:r>
      <w:r/>
    </w:p>
    <w:p>
      <w:pPr>
        <w:pStyle w:val="ListBullet"/>
        <w:spacing w:line="240" w:lineRule="auto"/>
        <w:ind w:left="720"/>
      </w:pPr>
      <w:r/>
      <w:r>
        <w:rPr>
          <w:b/>
        </w:rPr>
        <w:t>修改建议</w:t>
      </w:r>
      <w:r>
        <w:t xml:space="preserve">： </w:t>
      </w:r>
      <w:r/>
    </w:p>
    <w:p>
      <w:r/>
      <w:r>
        <w:t>13.2 本协议的成立、生效、履行、解释及争议解决，均适用中华人民共和国法律（不含国际条约及国际惯例，但中华人民共和国缔结或参加的国际条约另有规定的除外）；如本协议涉及涉外民事关系，且依法应适用《中华人民共和国涉外民事关系法律适用法》及其司法解释的，从其规定。</w:t>
      </w:r>
      <w:r/>
      <w:r/>
      <w:r/>
      <w:r/>
    </w:p>
    <w:p>
      <w:pPr>
        <w:pStyle w:val="Heading4"/>
      </w:pPr>
      <w:r>
        <w:t>检查要点 3.5：正文最后，写上“以下为合同签署栏/以下无正文”的内容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末尾（附件六结束后）未设置“以下为合同签署栏”或“以下无正文”等标准分隔提示语，签署栏直接衔接附件文本，缺乏对合同实质性内容终止边界的明确标识，可能影响合同形式完整性及司法认定中的证明力。 </w:t>
      </w:r>
      <w:r/>
    </w:p>
    <w:p>
      <w:pPr>
        <w:pStyle w:val="ListBullet"/>
        <w:spacing w:line="240" w:lineRule="auto"/>
        <w:ind w:left="720"/>
      </w:pPr>
      <w:r/>
      <w:r>
        <w:rPr>
          <w:b/>
        </w:rPr>
        <w:t>原文引用</w:t>
      </w:r>
      <w:r>
        <w:t xml:space="preserve">：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 xml:space="preserve">（注：涉及授权代理人签署的，请附法定代表人出具的授权书） </w:t>
      </w:r>
      <w:r/>
      <w:r/>
      <w:r/>
    </w:p>
    <w:p>
      <w:pPr>
        <w:pStyle w:val="ListBullet"/>
        <w:spacing w:line="240" w:lineRule="auto"/>
        <w:ind w:left="720"/>
      </w:pPr>
      <w:r/>
      <w:r>
        <w:rPr>
          <w:b/>
        </w:rPr>
        <w:t>所在位置</w:t>
      </w:r>
      <w:r>
        <w:t xml:space="preserve">：合同文本末段，附件六之后、签署栏之前空白处缺失分隔标识 </w:t>
      </w:r>
      <w:r/>
    </w:p>
    <w:p>
      <w:pPr>
        <w:pStyle w:val="ListBullet"/>
        <w:spacing w:line="240" w:lineRule="auto"/>
        <w:ind w:left="720"/>
      </w:pPr>
      <w:r/>
      <w:r>
        <w:rPr>
          <w:b/>
        </w:rPr>
        <w:t>问题分析</w:t>
      </w:r>
      <w:r>
        <w:t xml:space="preserve">：合同签署栏作为缔约意思表示的最终确认环节，应与正文内容在形式上清晰区隔。当前结构中，签署栏紧随附件六长篇文本出现，未通过“以下为合同签署栏”或“以下无正文”等通用法律文书惯用语进行功能界定，易导致对合同是否完整、是否存在未列明补充条款或附件的合理质疑，亦可能削弱在争议解决中对合同文本完整性的举证效力。 </w:t>
      </w:r>
      <w:r/>
    </w:p>
    <w:p>
      <w:pPr>
        <w:pStyle w:val="ListBullet"/>
        <w:spacing w:line="240" w:lineRule="auto"/>
        <w:ind w:left="720"/>
      </w:pPr>
      <w:r/>
      <w:r>
        <w:rPr>
          <w:b/>
        </w:rPr>
        <w:t>法律依据</w:t>
      </w:r>
      <w:r>
        <w:t xml:space="preserve">：《中华人民共和国民法典》第四百七十条虽未强制规定具体格式用语，但强调合同应具备必要条款并体现当事人真实意思；《最高人民法院关于民事诉讼证据的若干规定》第九十二条指出，私文书证的真实性由主张方承担举证责任，形式瑕疵将增加举证难度；此外，《全国法院民商事审判工作会议纪要》（九民纪要）第40条亦强调，合同形式完备性系判断意思表示真实、内容确定的重要参考因素。 </w:t>
      </w:r>
      <w:r/>
    </w:p>
    <w:p>
      <w:pPr>
        <w:pStyle w:val="ListBullet"/>
        <w:spacing w:line="240" w:lineRule="auto"/>
        <w:ind w:left="720"/>
      </w:pPr>
      <w:r/>
      <w:r>
        <w:rPr>
          <w:b/>
        </w:rPr>
        <w:t>修改建议</w:t>
      </w:r>
      <w:r>
        <w:t xml:space="preserve">： </w:t>
      </w:r>
      <w:r/>
    </w:p>
    <w:p>
      <w:r/>
      <w:r>
        <w:t xml:space="preserve">以下为合同签署栏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（注：涉及授权代理人签署的，请附法定代表人出具的授权书）</w:t>
      </w:r>
      <w:r/>
      <w:r/>
      <w:r/>
      <w:r/>
    </w:p>
    <w:p>
      <w:pPr>
        <w:pStyle w:val="Heading2"/>
      </w:pPr>
      <w:r>
        <w:t>四、优先处理建议</w:t>
      </w:r>
      <w:r/>
    </w:p>
    <w:p>
      <w:pPr>
        <w:pStyle w:val="Heading3"/>
      </w:pPr>
      <w:r>
        <w:t>（一）必须立即修订的高风险问题</w:t>
      </w:r>
      <w:r/>
      <w:r/>
    </w:p>
    <w:p>
      <w:pPr>
        <w:pStyle w:val="ListBullet"/>
        <w:spacing w:line="240" w:lineRule="auto"/>
        <w:ind w:left="720"/>
      </w:pPr>
      <w:r/>
      <w:r>
        <w:t xml:space="preserve">针对甲方被金融监管机构处以1110万元行政处罚的情形，应在合同中增设风险预警与单方救济机制，明确甲方需提供无重大违法违规书面声明，并赋予乙方在甲方再次发生同类重大处罚或被列入严重违法失信名单时的单方解约权及违约金请求权。 </w:t>
      </w:r>
      <w:r/>
    </w:p>
    <w:p>
      <w:pPr>
        <w:pStyle w:val="ListBullet"/>
        <w:spacing w:line="240" w:lineRule="auto"/>
        <w:ind w:left="720"/>
      </w:pPr>
      <w:r/>
      <w:r>
        <w:t xml:space="preserve">全面补全并核验甲乙双方签约主体信息，包括但不限于传真号码、法定代表人姓名及职务，并确保联系电话、邮编等基础信息与国家企业信用信息公示系统登记内容完全一致。 </w:t>
      </w:r>
      <w:r/>
    </w:p>
    <w:p>
      <w:pPr>
        <w:pStyle w:val="ListBullet"/>
        <w:spacing w:line="240" w:lineRule="auto"/>
        <w:ind w:left="720"/>
      </w:pPr>
      <w:r/>
      <w:r>
        <w:t xml:space="preserve">重构第7.2条知识产权条款，明确区分腾讯云自有基础软件、甲方独立生成成果、双方合作/定制开发成果三类客体，分别设定权属规则，删除绝对化“保留+排除”表述，恢复甲方依法可协商取得知识产权的法定路径。 </w:t>
      </w:r>
      <w:r/>
    </w:p>
    <w:p>
      <w:pPr>
        <w:pStyle w:val="ListBullet"/>
        <w:spacing w:line="240" w:lineRule="auto"/>
        <w:ind w:left="720"/>
      </w:pPr>
      <w:r/>
      <w:r>
        <w:t xml:space="preserve">在第三条“服务”中增补附件一《采购服务清单》，逐项列明所购服务的品种、规格、型号、等级、关键技术参数（如带宽、并发量、存储容量）及SLA要求，杜绝“所需服务”等模糊表述。 </w:t>
      </w:r>
      <w:r/>
    </w:p>
    <w:p>
      <w:pPr>
        <w:pStyle w:val="ListBullet"/>
        <w:spacing w:line="240" w:lineRule="auto"/>
        <w:ind w:left="720"/>
      </w:pPr>
      <w:r/>
      <w:r>
        <w:t xml:space="preserve">在第三条“服务费用”中增设附件一《服务价格清单》，明确每一项服务的单价、计量单位（如GB/月、vCPU·小时）、总价（固定价或上限价）、币种（人民币CNY）及含税状态，并约定税率调整机制。 </w:t>
      </w:r>
      <w:r/>
    </w:p>
    <w:p>
      <w:pPr>
        <w:pStyle w:val="ListBullet"/>
        <w:spacing w:line="240" w:lineRule="auto"/>
        <w:ind w:left="720"/>
      </w:pPr>
      <w:r/>
      <w:r>
        <w:t xml:space="preserve">将付款方式由账单驱动型调整为里程碑节点式，设置预付款、初验款、终验款及质量保证金（5%）四阶段支付结构，明确各节点触发条件（如环境配置完成、上线运行30日、稳定运行6个月）、书面确认文件（《初步/最终验收报告》）及免费维保期（12个月）起算规则。 </w:t>
      </w:r>
      <w:r/>
    </w:p>
    <w:p>
      <w:pPr>
        <w:pStyle w:val="ListBullet"/>
        <w:spacing w:line="240" w:lineRule="auto"/>
        <w:ind w:left="720"/>
      </w:pPr>
      <w:r/>
      <w:r>
        <w:t xml:space="preserve">统一正文与附件中关于“天”的定义适用规则，在第14.2款中增加例外条款，明确附件中所有“工作日”表述特指国务院公布的法定工作日，不适用自然日一般性约定。 </w:t>
      </w:r>
      <w:r/>
    </w:p>
    <w:p>
      <w:pPr>
        <w:pStyle w:val="ListBullet"/>
        <w:spacing w:line="240" w:lineRule="auto"/>
        <w:ind w:left="720"/>
      </w:pPr>
      <w:r/>
      <w:r>
        <w:t xml:space="preserve">将附件一“验收要求”中的服务可用性标准由“不低于99%”统一提升至“不低于99.9%”，并与附件二“服务可用性保证”标准保持一致，同时在正文中明确该标准为验收合格的最低门槛及违约责任触发基准。 </w:t>
      </w:r>
      <w:r/>
    </w:p>
    <w:p>
      <w:pPr>
        <w:pStyle w:val="ListBullet"/>
        <w:spacing w:line="240" w:lineRule="auto"/>
        <w:ind w:left="720"/>
      </w:pPr>
      <w:r/>
      <w:r>
        <w:t xml:space="preserve">统一服务开通日期的记录主体，明确以乙方系统记录时间为准，并增设甲方异议期（2个工作日）及乙方同步发送加盖电子签章的《服务开通确认单》义务，确保时间节点客观可验证。 </w:t>
      </w:r>
      <w:r/>
      <w:r/>
    </w:p>
    <w:p>
      <w:pPr>
        <w:pStyle w:val="Heading3"/>
      </w:pPr>
      <w:r>
        <w:t>（二）建议同步修订的中风险问题</w:t>
      </w:r>
      <w:r/>
      <w:r/>
    </w:p>
    <w:p>
      <w:pPr>
        <w:pStyle w:val="ListBullet"/>
        <w:spacing w:line="240" w:lineRule="auto"/>
        <w:ind w:left="720"/>
      </w:pPr>
      <w:r/>
      <w:r>
        <w:t xml:space="preserve">在合同首部明确指定甲乙双方“合同主要项目负责人”，并强制要求填写其真实姓名、身份证号码及可直联的个人手机号码，明确其履职行为视为各自一方的正式意思表示。 </w:t>
      </w:r>
      <w:r/>
    </w:p>
    <w:p>
      <w:pPr>
        <w:pStyle w:val="ListBullet"/>
        <w:spacing w:line="240" w:lineRule="auto"/>
        <w:ind w:left="720"/>
      </w:pPr>
      <w:r/>
      <w:r>
        <w:t xml:space="preserve">删除首部引言中“公开招标编号”“乙方投标承诺”等招投标阶段专属术语，改为援引“中标通知书编号”及“乙方在投标文件中所作实质性响应与承诺”，准确反映合同缔结阶段与法律性质。 </w:t>
      </w:r>
      <w:r/>
    </w:p>
    <w:p>
      <w:pPr>
        <w:pStyle w:val="ListBullet"/>
        <w:spacing w:line="240" w:lineRule="auto"/>
        <w:ind w:left="720"/>
      </w:pPr>
      <w:r/>
      <w:r>
        <w:t xml:space="preserve">统一乙方全称中括号格式，全文所有出现位置（包括“乙方：”“账户：”“签署栏”等）均使用中文全角括号“（北京）”，确保主体名称形式绝对一致。 </w:t>
      </w:r>
      <w:r/>
    </w:p>
    <w:p>
      <w:pPr>
        <w:pStyle w:val="ListBullet"/>
        <w:spacing w:line="240" w:lineRule="auto"/>
        <w:ind w:left="720"/>
      </w:pPr>
      <w:r/>
      <w:r>
        <w:t xml:space="preserve">修改第13.2条准据法条款，将“中国大陆法律法规（不包括冲突法）”规范表述为“中华人民共和国法律（不含国际条约及国际惯例，但中华人民共和国缔结或参加的国际条约另有规定的除外）”，并补充说明涉外情形下应依法适用《中华人民共和国涉外民事关系法律适用法》及其司法解释。 </w:t>
      </w:r>
      <w:r/>
    </w:p>
    <w:p>
      <w:pPr>
        <w:pStyle w:val="ListBullet"/>
        <w:spacing w:line="240" w:lineRule="auto"/>
        <w:ind w:left="720"/>
      </w:pPr>
      <w:r/>
      <w:r>
        <w:t xml:space="preserve">在附件六结束后、签署栏之前插入标准分隔语“以下为合同签署栏”，清晰标识合同实质性内容终止边界，增强文书形式完整性与司法证明力。 </w:t>
      </w:r>
      <w:r/>
    </w:p>
    <w:p>
      <w:pPr>
        <w:pStyle w:val="ListBullet"/>
        <w:spacing w:line="240" w:lineRule="auto"/>
        <w:ind w:left="720"/>
      </w:pPr>
      <w:r/>
      <w:r>
        <w:t>在签署栏上方空白处增加“以下无正文”提示语，进一步强化合同文本封闭性，防范对未列明补充条款或附件的合理质疑。</w:t>
      </w:r>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覆盖率：15/15（100%）</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525,385</w:t>
            </w:r>
          </w:p>
        </w:tc>
      </w:tr>
      <w:tr>
        <w:tc>
          <w:tcPr>
            <w:tcW w:type="dxa" w:w="4320"/>
          </w:tcPr>
          <w:p>
            <w:r>
              <w:t>汇总（Summarizer）</w:t>
            </w:r>
          </w:p>
        </w:tc>
        <w:tc>
          <w:tcPr>
            <w:tcW w:type="dxa" w:w="4320"/>
          </w:tcPr>
          <w:p>
            <w:r>
              <w:t>38,672</w:t>
            </w:r>
          </w:p>
        </w:tc>
      </w:tr>
      <w:tr>
        <w:tc>
          <w:tcPr>
            <w:tcW w:type="dxa" w:w="4320"/>
          </w:tcPr>
          <w:p>
            <w:r>
              <w:rPr>
                <w:b/>
              </w:rPr>
              <w:t>合计</w:t>
            </w:r>
          </w:p>
        </w:tc>
        <w:tc>
          <w:tcPr>
            <w:tcW w:type="dxa" w:w="4320"/>
          </w:tcPr>
          <w:p>
            <w:r>
              <w:rPr>
                <w:b/>
              </w:rPr>
              <w:t>566,303</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8m 16s</w:t>
      </w:r>
      <w:r/>
    </w:p>
    <w:p>
      <w:pPr>
        <w:pStyle w:val="ListBullet"/>
        <w:spacing w:line="240" w:lineRule="auto"/>
        <w:ind w:left="720"/>
      </w:pPr>
      <w:r/>
      <w:r>
        <w:rPr>
          <w:b/>
        </w:rPr>
        <w:t>生成时间</w:t>
      </w:r>
      <w:r>
        <w:t>: 2026-03-02 14:49</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