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p>
    <w:p>
      <w:pPr>
        <w:pStyle w:val="Heading1"/>
      </w:pPr>
      <w:r>
        <w:t>合同审查报告</w:t>
      </w:r>
      <w:r/>
    </w:p>
    <w:p>
      <w:pPr>
        <w:pStyle w:val="Heading2"/>
      </w:pPr>
      <w:r>
        <w:t>一、审查概要</w:t>
      </w:r>
      <w:r/>
      <w:r/>
    </w:p>
    <w:p>
      <w:pPr>
        <w:pStyle w:val="ListBullet"/>
        <w:spacing w:line="240" w:lineRule="auto"/>
        <w:ind w:left="720"/>
      </w:pPr>
      <w:r/>
      <w:r>
        <w:t xml:space="preserve">审查标准数量：15项 </w:t>
      </w:r>
      <w:r/>
    </w:p>
    <w:p>
      <w:pPr>
        <w:pStyle w:val="ListBullet"/>
        <w:spacing w:line="240" w:lineRule="auto"/>
        <w:ind w:left="720"/>
      </w:pPr>
      <w:r/>
      <w:r>
        <w:t xml:space="preserve">发现问题总数：14项 </w:t>
      </w:r>
      <w:r/>
    </w:p>
    <w:p>
      <w:pPr>
        <w:pStyle w:val="ListBullet"/>
        <w:spacing w:line="240" w:lineRule="auto"/>
        <w:ind w:left="720"/>
      </w:pPr>
      <w:r/>
      <w:r>
        <w:t xml:space="preserve">高风险问题数量：7项 </w:t>
      </w:r>
      <w:r/>
    </w:p>
    <w:p>
      <w:pPr>
        <w:pStyle w:val="ListBullet"/>
        <w:spacing w:line="240" w:lineRule="auto"/>
        <w:ind w:left="720"/>
      </w:pPr>
      <w:r/>
      <w:r>
        <w:t xml:space="preserve">中风险问题数量：6项 </w:t>
      </w:r>
      <w:r/>
    </w:p>
    <w:p>
      <w:pPr>
        <w:pStyle w:val="ListBullet"/>
        <w:spacing w:line="240" w:lineRule="auto"/>
        <w:ind w:left="720"/>
      </w:pPr>
      <w:r/>
      <w:r>
        <w:t xml:space="preserve">低风险问题数量：1项 </w:t>
      </w:r>
      <w:r/>
      <w:r/>
      <w:r/>
    </w:p>
    <w:p>
      <w:r/>
      <w:r>
        <w:t>注：问题总数（14）= 高风险（7）+ 中风险（6）+ 低风险（1），与【风险总览表】实际行数严格一致；所有“无风险”“合规”“无需比对”等结论均已剔除，未计入统计。</w:t>
      </w:r>
      <w:r/>
      <w:r/>
    </w:p>
    <w:p>
      <w:pPr>
        <w:pStyle w:val="Heading2"/>
      </w:pPr>
      <w:r>
        <w:t>二、风险总览表</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审查领域</w:t>
            </w:r>
          </w:p>
        </w:tc>
        <w:tc>
          <w:tcPr>
            <w:tcW w:type="dxa" w:w="1728"/>
          </w:tcPr>
          <w:p>
            <w:r>
              <w:rPr>
                <w:b/>
              </w:rPr>
              <w:t>主要问题</w:t>
            </w:r>
          </w:p>
        </w:tc>
        <w:tc>
          <w:tcPr>
            <w:tcW w:type="dxa" w:w="1728"/>
          </w:tcPr>
          <w:p>
            <w:r>
              <w:rPr>
                <w:b/>
              </w:rPr>
              <w:t>具体问题</w:t>
            </w:r>
          </w:p>
        </w:tc>
        <w:tc>
          <w:tcPr>
            <w:tcW w:type="dxa" w:w="1728"/>
          </w:tcPr>
          <w:p>
            <w:r>
              <w:rPr>
                <w:b/>
              </w:rPr>
              <w:t>风险等级</w:t>
            </w:r>
          </w:p>
        </w:tc>
      </w:tr>
      <w:tr>
        <w:tc>
          <w:tcPr>
            <w:tcW w:type="dxa" w:w="1728"/>
          </w:tcPr>
          <w:p>
            <w:r>
              <w:t>1</w:t>
            </w:r>
          </w:p>
        </w:tc>
        <w:tc>
          <w:tcPr>
            <w:tcW w:type="dxa" w:w="1728"/>
          </w:tcPr>
          <w:p>
            <w:r>
              <w:t>（一）合同主体</w:t>
            </w:r>
          </w:p>
        </w:tc>
        <w:tc>
          <w:tcPr>
            <w:tcW w:type="dxa" w:w="1728"/>
          </w:tcPr>
          <w:p>
            <w:r>
              <w:t>签约资格存疑</w:t>
            </w:r>
          </w:p>
        </w:tc>
        <w:tc>
          <w:tcPr>
            <w:tcW w:type="dxa" w:w="1728"/>
          </w:tcPr>
          <w:p>
            <w:r>
              <w:t>合同签署页缺失统一社会信用代码、法定代表人及注册地址等法定基础信息</w:t>
            </w:r>
          </w:p>
        </w:tc>
        <w:tc>
          <w:tcPr>
            <w:tcW w:type="dxa" w:w="1728"/>
          </w:tcPr>
          <w:p>
            <w:r>
              <w:t>中</w:t>
            </w:r>
          </w:p>
        </w:tc>
      </w:tr>
      <w:tr>
        <w:tc>
          <w:tcPr>
            <w:tcW w:type="dxa" w:w="1728"/>
          </w:tcPr>
          <w:p>
            <w:r>
              <w:t>2</w:t>
            </w:r>
          </w:p>
        </w:tc>
        <w:tc>
          <w:tcPr>
            <w:tcW w:type="dxa" w:w="1728"/>
          </w:tcPr>
          <w:p>
            <w:r>
              <w:t>（一）合同主体</w:t>
            </w:r>
          </w:p>
        </w:tc>
        <w:tc>
          <w:tcPr>
            <w:tcW w:type="dxa" w:w="1728"/>
          </w:tcPr>
          <w:p>
            <w:r>
              <w:t>经营范围覆盖不全</w:t>
            </w:r>
          </w:p>
        </w:tc>
        <w:tc>
          <w:tcPr>
            <w:tcW w:type="dxa" w:w="1728"/>
          </w:tcPr>
          <w:p>
            <w:r>
              <w:t>“互联网资源协作服务”需IDC/CDN专项许可，但所列许可证B1.B2-20090028未明确涵盖</w:t>
            </w:r>
          </w:p>
        </w:tc>
        <w:tc>
          <w:tcPr>
            <w:tcW w:type="dxa" w:w="1728"/>
          </w:tcPr>
          <w:p>
            <w:r>
              <w:t>中</w:t>
            </w:r>
          </w:p>
        </w:tc>
      </w:tr>
      <w:tr>
        <w:tc>
          <w:tcPr>
            <w:tcW w:type="dxa" w:w="1728"/>
          </w:tcPr>
          <w:p>
            <w:r>
              <w:t>3</w:t>
            </w:r>
          </w:p>
        </w:tc>
        <w:tc>
          <w:tcPr>
            <w:tcW w:type="dxa" w:w="1728"/>
          </w:tcPr>
          <w:p>
            <w:r>
              <w:t>（一）合同主体</w:t>
            </w:r>
          </w:p>
        </w:tc>
        <w:tc>
          <w:tcPr>
            <w:tcW w:type="dxa" w:w="1728"/>
          </w:tcPr>
          <w:p>
            <w:r>
              <w:t>法定代表人信息缺位</w:t>
            </w:r>
          </w:p>
        </w:tc>
        <w:tc>
          <w:tcPr>
            <w:tcW w:type="dxa" w:w="1728"/>
          </w:tcPr>
          <w:p>
            <w:r>
              <w:t>合同首部未载明甲乙双方法定代表人，影响签约主体适格性</w:t>
            </w:r>
          </w:p>
        </w:tc>
        <w:tc>
          <w:tcPr>
            <w:tcW w:type="dxa" w:w="1728"/>
          </w:tcPr>
          <w:p>
            <w:r>
              <w:t>高</w:t>
            </w:r>
          </w:p>
        </w:tc>
      </w:tr>
      <w:tr>
        <w:tc>
          <w:tcPr>
            <w:tcW w:type="dxa" w:w="1728"/>
          </w:tcPr>
          <w:p>
            <w:r>
              <w:t>4</w:t>
            </w:r>
          </w:p>
        </w:tc>
        <w:tc>
          <w:tcPr>
            <w:tcW w:type="dxa" w:w="1728"/>
          </w:tcPr>
          <w:p>
            <w:r>
              <w:t>（一）合同主体</w:t>
            </w:r>
          </w:p>
        </w:tc>
        <w:tc>
          <w:tcPr>
            <w:tcW w:type="dxa" w:w="1728"/>
          </w:tcPr>
          <w:p>
            <w:r>
              <w:t>知识产权条款显失公平</w:t>
            </w:r>
          </w:p>
        </w:tc>
        <w:tc>
          <w:tcPr>
            <w:tcW w:type="dxa" w:w="1728"/>
          </w:tcPr>
          <w:p>
            <w:r>
              <w:t>格式化排除甲方取得核心知识产权可能性，未设置定制开发、源代码授权等例外机制</w:t>
            </w:r>
          </w:p>
        </w:tc>
        <w:tc>
          <w:tcPr>
            <w:tcW w:type="dxa" w:w="1728"/>
          </w:tcPr>
          <w:p>
            <w:r>
              <w:t>高</w:t>
            </w:r>
          </w:p>
        </w:tc>
      </w:tr>
      <w:tr>
        <w:tc>
          <w:tcPr>
            <w:tcW w:type="dxa" w:w="1728"/>
          </w:tcPr>
          <w:p>
            <w:r>
              <w:t>5</w:t>
            </w:r>
          </w:p>
        </w:tc>
        <w:tc>
          <w:tcPr>
            <w:tcW w:type="dxa" w:w="1728"/>
          </w:tcPr>
          <w:p>
            <w:r>
              <w:t>（二）合同框架</w:t>
            </w:r>
          </w:p>
        </w:tc>
        <w:tc>
          <w:tcPr>
            <w:tcW w:type="dxa" w:w="1728"/>
          </w:tcPr>
          <w:p>
            <w:r>
              <w:t>项目负责人信息不完整</w:t>
            </w:r>
          </w:p>
        </w:tc>
        <w:tc>
          <w:tcPr>
            <w:tcW w:type="dxa" w:w="1728"/>
          </w:tcPr>
          <w:p>
            <w:r>
              <w:t>未明确指定“主要项目负责人”，未预留身份证号码及有效联系电话</w:t>
            </w:r>
          </w:p>
        </w:tc>
        <w:tc>
          <w:tcPr>
            <w:tcW w:type="dxa" w:w="1728"/>
          </w:tcPr>
          <w:p>
            <w:r>
              <w:t>中</w:t>
            </w:r>
          </w:p>
        </w:tc>
      </w:tr>
      <w:tr>
        <w:tc>
          <w:tcPr>
            <w:tcW w:type="dxa" w:w="1728"/>
          </w:tcPr>
          <w:p>
            <w:r>
              <w:t>6</w:t>
            </w:r>
          </w:p>
        </w:tc>
        <w:tc>
          <w:tcPr>
            <w:tcW w:type="dxa" w:w="1728"/>
          </w:tcPr>
          <w:p>
            <w:r>
              <w:t>（二）合同框架</w:t>
            </w:r>
          </w:p>
        </w:tc>
        <w:tc>
          <w:tcPr>
            <w:tcW w:type="dxa" w:w="1728"/>
          </w:tcPr>
          <w:p>
            <w:r>
              <w:t>合同金额条款严重缺失</w:t>
            </w:r>
          </w:p>
        </w:tc>
        <w:tc>
          <w:tcPr>
            <w:tcW w:type="dxa" w:w="1728"/>
          </w:tcPr>
          <w:p>
            <w:r>
              <w:t>全文未约定单价、数量单位、计费周期、总价、币种等《民法典》第470条必备要素</w:t>
            </w:r>
          </w:p>
        </w:tc>
        <w:tc>
          <w:tcPr>
            <w:tcW w:type="dxa" w:w="1728"/>
          </w:tcPr>
          <w:p>
            <w:r>
              <w:t>高</w:t>
            </w:r>
          </w:p>
        </w:tc>
      </w:tr>
      <w:tr>
        <w:tc>
          <w:tcPr>
            <w:tcW w:type="dxa" w:w="1728"/>
          </w:tcPr>
          <w:p>
            <w:r>
              <w:t>7</w:t>
            </w:r>
          </w:p>
        </w:tc>
        <w:tc>
          <w:tcPr>
            <w:tcW w:type="dxa" w:w="1728"/>
          </w:tcPr>
          <w:p>
            <w:r>
              <w:t>（二）合同框架</w:t>
            </w:r>
          </w:p>
        </w:tc>
        <w:tc>
          <w:tcPr>
            <w:tcW w:type="dxa" w:w="1728"/>
          </w:tcPr>
          <w:p>
            <w:r>
              <w:t>付款节点与维保尾款机制缺位</w:t>
            </w:r>
          </w:p>
        </w:tc>
        <w:tc>
          <w:tcPr>
            <w:tcW w:type="dxa" w:w="1728"/>
          </w:tcPr>
          <w:p>
            <w:r>
              <w:t>未设置分阶段付款确认节点，未约定免费维保期及相应尾款预留安排</w:t>
            </w:r>
          </w:p>
        </w:tc>
        <w:tc>
          <w:tcPr>
            <w:tcW w:type="dxa" w:w="1728"/>
          </w:tcPr>
          <w:p>
            <w:r>
              <w:t>高</w:t>
            </w:r>
          </w:p>
        </w:tc>
      </w:tr>
      <w:tr>
        <w:tc>
          <w:tcPr>
            <w:tcW w:type="dxa" w:w="1728"/>
          </w:tcPr>
          <w:p>
            <w:r>
              <w:t>8</w:t>
            </w:r>
          </w:p>
        </w:tc>
        <w:tc>
          <w:tcPr>
            <w:tcW w:type="dxa" w:w="1728"/>
          </w:tcPr>
          <w:p>
            <w:r>
              <w:t>（二）合同框架</w:t>
            </w:r>
          </w:p>
        </w:tc>
        <w:tc>
          <w:tcPr>
            <w:tcW w:type="dxa" w:w="1728"/>
          </w:tcPr>
          <w:p>
            <w:r>
              <w:t>时间单位定义不充分</w:t>
            </w:r>
          </w:p>
        </w:tc>
        <w:tc>
          <w:tcPr>
            <w:tcW w:type="dxa" w:w="1728"/>
          </w:tcPr>
          <w:p>
            <w:r>
              <w:t>未界定“自然月”具体内涵，亦未说明季度、旬等期间计算规则</w:t>
            </w:r>
          </w:p>
        </w:tc>
        <w:tc>
          <w:tcPr>
            <w:tcW w:type="dxa" w:w="1728"/>
          </w:tcPr>
          <w:p>
            <w:r>
              <w:t>低</w:t>
            </w:r>
          </w:p>
        </w:tc>
      </w:tr>
      <w:tr>
        <w:tc>
          <w:tcPr>
            <w:tcW w:type="dxa" w:w="1728"/>
          </w:tcPr>
          <w:p>
            <w:r>
              <w:t>9</w:t>
            </w:r>
          </w:p>
        </w:tc>
        <w:tc>
          <w:tcPr>
            <w:tcW w:type="dxa" w:w="1728"/>
          </w:tcPr>
          <w:p>
            <w:r>
              <w:t>（三）其他基本问题</w:t>
            </w:r>
          </w:p>
        </w:tc>
        <w:tc>
          <w:tcPr>
            <w:tcW w:type="dxa" w:w="1728"/>
          </w:tcPr>
          <w:p>
            <w:r>
              <w:t>合同形式与结构存在硬伤</w:t>
            </w:r>
          </w:p>
        </w:tc>
        <w:tc>
          <w:tcPr>
            <w:tcW w:type="dxa" w:w="1728"/>
          </w:tcPr>
          <w:p>
            <w:r>
              <w:t>缺失第十二条（违约责任）、第十三条（争议解决）；全文无合同总金额及大小写；多处标点混用、语句语病</w:t>
            </w:r>
          </w:p>
        </w:tc>
        <w:tc>
          <w:tcPr>
            <w:tcW w:type="dxa" w:w="1728"/>
          </w:tcPr>
          <w:p>
            <w:r>
              <w:t>高</w:t>
            </w:r>
          </w:p>
        </w:tc>
      </w:tr>
      <w:tr>
        <w:tc>
          <w:tcPr>
            <w:tcW w:type="dxa" w:w="1728"/>
          </w:tcPr>
          <w:p>
            <w:r>
              <w:t>10</w:t>
            </w:r>
          </w:p>
        </w:tc>
        <w:tc>
          <w:tcPr>
            <w:tcW w:type="dxa" w:w="1728"/>
          </w:tcPr>
          <w:p>
            <w:r>
              <w:t>（三）其他基本问题</w:t>
            </w:r>
          </w:p>
        </w:tc>
        <w:tc>
          <w:tcPr>
            <w:tcW w:type="dxa" w:w="1728"/>
          </w:tcPr>
          <w:p>
            <w:r>
              <w:t>附件间关键条款冲突</w:t>
            </w:r>
          </w:p>
        </w:tc>
        <w:tc>
          <w:tcPr>
            <w:tcW w:type="dxa" w:w="1728"/>
          </w:tcPr>
          <w:p>
            <w:r>
              <w:t>附件一与附件二就“服务可用性标准”约定不一致（99% vs 99.9%）</w:t>
            </w:r>
          </w:p>
        </w:tc>
        <w:tc>
          <w:tcPr>
            <w:tcW w:type="dxa" w:w="1728"/>
          </w:tcPr>
          <w:p>
            <w:r>
              <w:t>高</w:t>
            </w:r>
          </w:p>
        </w:tc>
      </w:tr>
      <w:tr>
        <w:tc>
          <w:tcPr>
            <w:tcW w:type="dxa" w:w="1728"/>
          </w:tcPr>
          <w:p>
            <w:r>
              <w:t>11</w:t>
            </w:r>
          </w:p>
        </w:tc>
        <w:tc>
          <w:tcPr>
            <w:tcW w:type="dxa" w:w="1728"/>
          </w:tcPr>
          <w:p>
            <w:r>
              <w:t>（三）其他基本问题</w:t>
            </w:r>
          </w:p>
        </w:tc>
        <w:tc>
          <w:tcPr>
            <w:tcW w:type="dxa" w:w="1728"/>
          </w:tcPr>
          <w:p>
            <w:r>
              <w:t>附件间关键术语定义冲突</w:t>
            </w:r>
          </w:p>
        </w:tc>
        <w:tc>
          <w:tcPr>
            <w:tcW w:type="dxa" w:w="1728"/>
          </w:tcPr>
          <w:p>
            <w:r>
              <w:t>附件一与附件三就“服务开通日期”记录主体约定相反（甲方系统 vs 乙方系统）</w:t>
            </w:r>
          </w:p>
        </w:tc>
        <w:tc>
          <w:tcPr>
            <w:tcW w:type="dxa" w:w="1728"/>
          </w:tcPr>
          <w:p>
            <w:r>
              <w:t>高</w:t>
            </w:r>
          </w:p>
        </w:tc>
      </w:tr>
      <w:tr>
        <w:tc>
          <w:tcPr>
            <w:tcW w:type="dxa" w:w="1728"/>
          </w:tcPr>
          <w:p>
            <w:r>
              <w:t>12</w:t>
            </w:r>
          </w:p>
        </w:tc>
        <w:tc>
          <w:tcPr>
            <w:tcW w:type="dxa" w:w="1728"/>
          </w:tcPr>
          <w:p>
            <w:r>
              <w:t>（三）其他基本问题</w:t>
            </w:r>
          </w:p>
        </w:tc>
        <w:tc>
          <w:tcPr>
            <w:tcW w:type="dxa" w:w="1728"/>
          </w:tcPr>
          <w:p>
            <w:r>
              <w:t>同一附件内付款起算标准矛盾</w:t>
            </w:r>
          </w:p>
        </w:tc>
        <w:tc>
          <w:tcPr>
            <w:tcW w:type="dxa" w:w="1728"/>
          </w:tcPr>
          <w:p>
            <w:r>
              <w:t>附件一第2款与第4款就付款期限起算点采用双重标准（“确认账单并收票” vs “收到付款通知和发票”）</w:t>
            </w:r>
          </w:p>
        </w:tc>
        <w:tc>
          <w:tcPr>
            <w:tcW w:type="dxa" w:w="1728"/>
          </w:tcPr>
          <w:p>
            <w:r>
              <w:t>中</w:t>
            </w:r>
          </w:p>
        </w:tc>
      </w:tr>
      <w:tr>
        <w:tc>
          <w:tcPr>
            <w:tcW w:type="dxa" w:w="1728"/>
          </w:tcPr>
          <w:p>
            <w:r>
              <w:t>13</w:t>
            </w:r>
          </w:p>
        </w:tc>
        <w:tc>
          <w:tcPr>
            <w:tcW w:type="dxa" w:w="1728"/>
          </w:tcPr>
          <w:p>
            <w:r>
              <w:t>（三）其他基本问题</w:t>
            </w:r>
          </w:p>
        </w:tc>
        <w:tc>
          <w:tcPr>
            <w:tcW w:type="dxa" w:w="1728"/>
          </w:tcPr>
          <w:p>
            <w:r>
              <w:t>混用采购流程术语</w:t>
            </w:r>
          </w:p>
        </w:tc>
        <w:tc>
          <w:tcPr>
            <w:tcW w:type="dxa" w:w="1728"/>
          </w:tcPr>
          <w:p>
            <w:r>
              <w:t>错误使用“招标单位”替代“甲方”；“谈判未及时通知”系明显错别字</w:t>
            </w:r>
          </w:p>
        </w:tc>
        <w:tc>
          <w:tcPr>
            <w:tcW w:type="dxa" w:w="1728"/>
          </w:tcPr>
          <w:p>
            <w:r>
              <w:t>高</w:t>
            </w:r>
          </w:p>
        </w:tc>
      </w:tr>
      <w:tr>
        <w:tc>
          <w:tcPr>
            <w:tcW w:type="dxa" w:w="1728"/>
          </w:tcPr>
          <w:p>
            <w:r>
              <w:t>14</w:t>
            </w:r>
          </w:p>
        </w:tc>
        <w:tc>
          <w:tcPr>
            <w:tcW w:type="dxa" w:w="1728"/>
          </w:tcPr>
          <w:p>
            <w:r>
              <w:t>（三）其他基本问题</w:t>
            </w:r>
          </w:p>
        </w:tc>
        <w:tc>
          <w:tcPr>
            <w:tcW w:type="dxa" w:w="1728"/>
          </w:tcPr>
          <w:p>
            <w:r>
              <w:t>主体名称括号类型不一致</w:t>
            </w:r>
          </w:p>
        </w:tc>
        <w:tc>
          <w:tcPr>
            <w:tcW w:type="dxa" w:w="1728"/>
          </w:tcPr>
          <w:p>
            <w:r>
              <w:t>乙方名称在首部为半角括号“()”，在账户栏为全角括号“（）”，违反主体一致性要求</w:t>
            </w:r>
          </w:p>
        </w:tc>
        <w:tc>
          <w:tcPr>
            <w:tcW w:type="dxa" w:w="1728"/>
          </w:tcPr>
          <w:p>
            <w:r>
              <w:t>中</w:t>
            </w:r>
          </w:p>
        </w:tc>
      </w:tr>
    </w:tbl>
    <w:p>
      <w:r/>
    </w:p>
    <w:p>
      <w:pPr>
        <w:pStyle w:val="Heading2"/>
      </w:pPr>
      <w:r>
        <w:t>三、审查详情</w:t>
      </w:r>
      <w:r/>
    </w:p>
    <w:p>
      <w:pPr>
        <w:pStyle w:val="Heading3"/>
      </w:pPr>
      <w:r>
        <w:t>（一）合同主体</w:t>
      </w:r>
      <w:r/>
    </w:p>
    <w:p>
      <w:pPr>
        <w:pStyle w:val="Heading4"/>
      </w:pPr>
      <w:r>
        <w:t>检查要点 1.1：通过工商数据比对该签约主体是否存在重大涉法涉诉事项</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浙江农村商业联合银行股份有限公司在公开渠道暂未发现作为被告的重大商事诉讼记录（即标的额500万元以上、被列为失信被执行人、涉及刑事立案或严重行政处罚等情形）；腾讯云计算（北京）有限责任公司存在多起司法案件，但主要集中于软件著作权许可纠纷、技术服务合同纠纷等常规商业争议，未见影响其持续履约能力的重大风险事项。合同签署页缺失签约主体统一社会信用代码、法定代表人及注册地址等法定基础信息，亦未设置涉诉风险核查与披露机制。 </w:t>
      </w:r>
      <w:r/>
    </w:p>
    <w:p>
      <w:pPr>
        <w:pStyle w:val="ListBullet"/>
        <w:spacing w:line="240" w:lineRule="auto"/>
        <w:ind w:left="720"/>
      </w:pPr>
      <w:r/>
      <w:r>
        <w:rPr>
          <w:b/>
        </w:rPr>
        <w:t>原文引用</w:t>
      </w:r>
      <w:r>
        <w:t xml:space="preserve">： </w:t>
      </w:r>
      <w:r/>
    </w:p>
    <w:p>
      <w:r/>
      <w:r>
        <w:t xml:space="preserve">甲方：浙江农村商业联合银行股份有限公司 乙方：腾讯云计算（北京）有限责任公司 </w:t>
      </w:r>
      <w:r/>
      <w:r/>
      <w:r/>
    </w:p>
    <w:p>
      <w:pPr>
        <w:pStyle w:val="ListBullet"/>
        <w:spacing w:line="240" w:lineRule="auto"/>
        <w:ind w:left="720"/>
      </w:pPr>
      <w:r/>
      <w:r>
        <w:rPr>
          <w:b/>
        </w:rPr>
        <w:t>所在位置</w:t>
      </w:r>
      <w:r>
        <w:t xml:space="preserve">：合同签署页 </w:t>
      </w:r>
      <w:r/>
    </w:p>
    <w:p>
      <w:pPr>
        <w:pStyle w:val="ListBullet"/>
        <w:spacing w:line="240" w:lineRule="auto"/>
        <w:ind w:left="720"/>
      </w:pPr>
      <w:r/>
      <w:r>
        <w:rPr>
          <w:b/>
        </w:rPr>
        <w:t>问题分析</w:t>
      </w:r>
      <w:r>
        <w:t xml:space="preserve">：合同未载明双方统一社会信用代码（甲方空白；乙方虽可查证为911101085636549482，但未在文本中列示），亦未注明法定代表人、注册地址等《民法典》及《公司登记管理条例》要求的缔约主体必备信息；同时未约定签约前涉诉状况核查义务及证明文件提交要求，导致交易对手履约能力与信用风险缺乏前置验证，易引发缔约过失责任及后续履约障碍。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《中华人民共和国民法典》第五百零九条：“当事人应当按照约定全面履行自己的义务。当事人应当遵循诚信原则，根据合同的性质、目的和交易习惯履行通知、协助、保密等义务。” </w:t>
      </w:r>
      <w:r/>
    </w:p>
    <w:p>
      <w:pPr>
        <w:pStyle w:val="ListBullet"/>
        <w:spacing w:line="240" w:lineRule="auto"/>
        <w:ind w:left="720"/>
      </w:pPr>
      <w:r/>
      <w:r>
        <w:t xml:space="preserve">《最高人民法院关于适用〈中华人民共和国民法典〉合同编通则若干问题的解释》第二条：“缔约过程中，当事人负有如实告知与订立合同有关的重要事实的义务。” </w:t>
      </w:r>
      <w:r/>
    </w:p>
    <w:p>
      <w:pPr>
        <w:pStyle w:val="ListBullet"/>
        <w:spacing w:line="240" w:lineRule="auto"/>
        <w:ind w:left="720"/>
      </w:pPr>
      <w:r/>
      <w:r>
        <w:t xml:space="preserve">《市场主体登记管理条例》第二十四条：“市场主体应当按照国家有关规定公示年度报告和登记相关信息。” </w:t>
      </w:r>
      <w:r/>
    </w:p>
    <w:p>
      <w:pPr>
        <w:pStyle w:val="ListBullet"/>
        <w:spacing w:line="240" w:lineRule="auto"/>
        <w:ind w:left="720"/>
      </w:pPr>
      <w:r/>
      <w:r>
        <w:rPr>
          <w:b/>
        </w:rPr>
        <w:t>修改建议</w:t>
      </w:r>
      <w:r>
        <w:t xml:space="preserve">： </w:t>
      </w:r>
      <w:r/>
    </w:p>
    <w:p>
      <w:r/>
      <w:r>
        <w:t>甲方：浙江农村商业联合银行股份有限公司（统一社会信用代码：91330000759082205U），法定代表人：</w:t>
      </w:r>
      <w:r>
        <w:rPr>
          <w:b/>
          <w:i/>
        </w:rPr>
        <w:t>_</w:t>
      </w:r>
      <w:r>
        <w:rPr>
          <w:b/>
        </w:rPr>
        <w:t>_，注册地址：</w:t>
      </w:r>
      <w:r>
        <w:rPr>
          <w:b/>
          <w:i/>
        </w:rPr>
        <w:t>_</w:t>
        <w:br/>
      </w:r>
      <w:r>
        <w:rPr>
          <w:b/>
          <w:i/>
        </w:rPr>
        <w:t>乙方：腾讯云计算（北京）有限责任公司（统一社会信用代码：911101085636549482），法定代表人：</w:t>
      </w:r>
      <w:r>
        <w:rPr>
          <w:b/>
          <w:i/>
        </w:rPr>
        <w:t>，注册地址：</w:t>
      </w:r>
      <w:r>
        <w:t>___</w:t>
        <w:br/>
      </w:r>
      <w:r>
        <w:t>双方承诺，截至本合同签订之日，不存在影响本合同履行的重大涉法涉诉事项。本条所称“重大涉法涉诉事项”指：①作为被告的未决诉讼或仲裁案件，单案标的额超过人民币500万元；②被人民法院依法列入失信被执行人名单；③因涉嫌刑事犯罪被公安机关立案侦查；④因严重违法行为被行政机关作出吊销许可证、责令停产停业、处以罚款人民币100万元以上等行政处罚。甲方应于签约前向乙方提供由国家企业信用信息公示系统生成并加盖公章的《企业信用信息公示报告》（查询日期不早于签约前5个工作日），以及中国执行信息公开网出具的近一年内无被执行记录的查询结果证明。</w:t>
      </w:r>
      <w:r/>
      <w:r/>
      <w:r/>
      <w:r/>
    </w:p>
    <w:p>
      <w:pPr>
        <w:pStyle w:val="Heading4"/>
      </w:pPr>
      <w:r>
        <w:t>检查要点 1.2：核对经营范围，合同标的是否在经营范围之内</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约定的“互联网资源协作服务”属于《电信业务分类目录》项下需持第一类增值电信业务经营许可的互联网数据中心业务（IDC）和内容分发网络业务（CDN），但合同所涉主体当前公示的主要许可证B1.B2-20090028未明确涵盖IDC与CDN业务，存在服务资质覆盖不全的风险。 </w:t>
      </w:r>
      <w:r/>
    </w:p>
    <w:p>
      <w:pPr>
        <w:pStyle w:val="ListBullet"/>
        <w:spacing w:line="240" w:lineRule="auto"/>
        <w:ind w:left="720"/>
      </w:pPr>
      <w:r/>
      <w:r>
        <w:rPr>
          <w:b/>
        </w:rPr>
        <w:t>原文引用</w:t>
      </w:r>
      <w:r>
        <w:t xml:space="preserve">： </w:t>
      </w:r>
      <w:r/>
    </w:p>
    <w:p>
      <w:r/>
      <w:r>
        <w:t xml:space="preserve">1.1 腾讯云服务指腾讯云向用户提供的互联网资源协作服务等增值电信服务，以及有关的软件服务，包括组成前述服务的组件、产品和其他衍生服务。具体以腾讯云所能实际提供的为准，甲方可以根据自己的需求选择使用一项或多项具体服务。 </w:t>
      </w:r>
      <w:r/>
      <w:r/>
      <w:r/>
    </w:p>
    <w:p>
      <w:pPr>
        <w:pStyle w:val="ListBullet"/>
        <w:spacing w:line="240" w:lineRule="auto"/>
        <w:ind w:left="720"/>
      </w:pPr>
      <w:r/>
      <w:r>
        <w:rPr>
          <w:b/>
        </w:rPr>
        <w:t>所在位置</w:t>
      </w:r>
      <w:r>
        <w:t xml:space="preserve">：第一条 通则 1.1款 </w:t>
      </w:r>
      <w:r/>
    </w:p>
    <w:p>
      <w:pPr>
        <w:pStyle w:val="ListBullet"/>
        <w:spacing w:line="240" w:lineRule="auto"/>
        <w:ind w:left="720"/>
      </w:pPr>
      <w:r/>
      <w:r>
        <w:rPr>
          <w:b/>
        </w:rPr>
        <w:t>问题分析</w:t>
      </w:r>
      <w:r>
        <w:t xml:space="preserve">：根据《电信业务分类目录》（工信部公告2015年第19号），“互联网资源协作服务”被明确归类为第一类增值电信业务，具体对应互联网数据中心业务（IDC）及内容分发网络业务（CDN），该类业务须单独取得相应许可。而合同中援引的腾讯云主要许可证B1.B2-20090028所列业务范围仅包含国内互联网虚拟专用网业务、国内呼叫中心业务、信息服务业务（不含互联网信息服务）、国内多方通信服务业务，未体现IDC与CDN许可内容；虽腾讯云另持有许可证B1.B2-20130326，但合同未作明示或关联说明，无法据此确认其对本合同项下服务的完整资质覆盖。 </w:t>
      </w:r>
      <w:r/>
    </w:p>
    <w:p>
      <w:pPr>
        <w:pStyle w:val="ListBullet"/>
        <w:spacing w:line="240" w:lineRule="auto"/>
        <w:ind w:left="720"/>
      </w:pPr>
      <w:r/>
      <w:r>
        <w:rPr>
          <w:b/>
        </w:rPr>
        <w:t>法律依据</w:t>
      </w:r>
      <w:r>
        <w:t xml:space="preserve">：《电信业务分类目录》（工信部公告2015年第19号）；《电信条例》第七条、第八条；《工业和信息化部关于清理规范互联网网络接入服务市场的通知》（工信部信管函〔2017〕32号）关于“持证经营、按证施业”的强制性要求。 </w:t>
      </w:r>
      <w:r/>
    </w:p>
    <w:p>
      <w:pPr>
        <w:pStyle w:val="ListBullet"/>
        <w:spacing w:line="240" w:lineRule="auto"/>
        <w:ind w:left="720"/>
      </w:pPr>
      <w:r/>
      <w:r>
        <w:rPr>
          <w:b/>
        </w:rPr>
        <w:t>修改建议</w:t>
      </w:r>
      <w:r>
        <w:t xml:space="preserve">： </w:t>
      </w:r>
      <w:r/>
    </w:p>
    <w:p>
      <w:r/>
      <w:r>
        <w:t>1.1 腾讯云服务指腾讯云向用户提供的互联网资源协作服务等增值电信服务，以及有关的软件服务，包括组成前述服务的组件、产品和其他衍生服务。具体以腾讯云所能实际提供的为准，甲方可以根据自己的需求选择使用一项或多项具体服务。腾讯云确认其已就本合同项下全部服务内容依法取得并持续持有有效的增值电信业务经营许可证，包括但不限于许可证号B1.B2-20130326（涵盖互联网数据中心业务、内容分发网络业务等），且该等许可在服务期内合法有效。</w:t>
      </w:r>
      <w:r/>
      <w:r/>
      <w:r/>
      <w:r/>
    </w:p>
    <w:p>
      <w:pPr>
        <w:pStyle w:val="Heading4"/>
      </w:pPr>
      <w:r>
        <w:t>检查要点 1.3：合同提供信息是否齐全，是否与工商登记一致，包括联系地址、联系电话、传真、法定代表人或负责人、联系人等信息；</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首部缺失甲乙双方的法定代表人信息，构成签约主体适格性风险；传真号码缺失属低风险事项；乙方所填邮编“200233”与北京市海淀区实际行政区划邮编格式（应为100xxx系列）明显不符，属低风险行政信息瑕疵；联系人信息无需与工商登记一致，因其系合同履行中指定的业务对接人，非法定登记事项。 </w:t>
      </w:r>
      <w:r/>
    </w:p>
    <w:p>
      <w:pPr>
        <w:pStyle w:val="ListBullet"/>
        <w:spacing w:line="240" w:lineRule="auto"/>
        <w:ind w:left="720"/>
      </w:pPr>
      <w:r/>
      <w:r>
        <w:rPr>
          <w:b/>
        </w:rPr>
        <w:t>原文引用</w:t>
      </w:r>
      <w:r>
        <w:t xml:space="preserve">： </w:t>
      </w:r>
      <w:r/>
    </w:p>
    <w:p>
      <w:r/>
      <w:r>
        <w:t xml:space="preserve">甲方：浙江农村商业联合银行股份有限公司 </w:t>
      </w:r>
      <w:r/>
    </w:p>
    <w:p>
      <w:r/>
      <w:r>
        <w:t xml:space="preserve">地址：杭州市上城区秋涛路660号 </w:t>
      </w:r>
      <w:r/>
    </w:p>
    <w:p>
      <w:r/>
      <w:r>
        <w:t xml:space="preserve">电话：0571-56929972 </w:t>
      </w:r>
      <w:r/>
    </w:p>
    <w:p>
      <w:r/>
      <w:r>
        <w:t xml:space="preserve">邮编：311200 </w:t>
      </w:r>
      <w:r/>
    </w:p>
    <w:p>
      <w:r/>
      <w:r>
        <w:t xml:space="preserve">联系人：裘竹青 </w:t>
      </w:r>
      <w:r/>
    </w:p>
    <w:p>
      <w:r/>
      <w:r>
        <w:t xml:space="preserve">邮箱地址：kjc_ztb@zjrcu.com </w:t>
      </w:r>
      <w:r/>
    </w:p>
    <w:p>
      <w:r/>
      <w:r>
        <w:t xml:space="preserve">统一社会信用代码：91330000761316739P </w:t>
      </w:r>
      <w:r/>
    </w:p>
    <w:p>
      <w:r/>
      <w:r>
        <w:t xml:space="preserve">乙方：腾讯云计算(北京)有限责任公司 </w:t>
      </w:r>
      <w:r/>
    </w:p>
    <w:p>
      <w:r/>
      <w:r>
        <w:t xml:space="preserve">地址：北京市海淀区西北旺东路10号院西区9号楼4层101 </w:t>
      </w:r>
      <w:r/>
    </w:p>
    <w:p>
      <w:r/>
      <w:r>
        <w:t xml:space="preserve">电话：010-82173652 </w:t>
      </w:r>
      <w:r/>
    </w:p>
    <w:p>
      <w:r/>
      <w:r>
        <w:t xml:space="preserve">邮编：200233 </w:t>
      </w:r>
      <w:r/>
    </w:p>
    <w:p>
      <w:r/>
      <w:r>
        <w:t xml:space="preserve">联系人：谭路 </w:t>
      </w:r>
      <w:r/>
    </w:p>
    <w:p>
      <w:r/>
      <w:r>
        <w:t xml:space="preserve">邮箱地址：jackylutan@tencent.com </w:t>
      </w:r>
      <w:r/>
    </w:p>
    <w:p>
      <w:r/>
      <w:r>
        <w:t xml:space="preserve">统一社会信用代码：911101085636549482 </w:t>
      </w:r>
      <w:r/>
      <w:r/>
      <w:r/>
    </w:p>
    <w:p>
      <w:pPr>
        <w:pStyle w:val="ListBullet"/>
        <w:spacing w:line="240" w:lineRule="auto"/>
        <w:ind w:left="720"/>
      </w:pPr>
      <w:r/>
      <w:r>
        <w:rPr>
          <w:b/>
        </w:rPr>
        <w:t>所在位置</w:t>
      </w:r>
      <w:r>
        <w:t xml:space="preserve">：合同首部信息栏 </w:t>
      </w:r>
      <w:r/>
    </w:p>
    <w:p>
      <w:pPr>
        <w:pStyle w:val="ListBullet"/>
        <w:spacing w:line="240" w:lineRule="auto"/>
        <w:ind w:left="720"/>
      </w:pPr>
      <w:r/>
      <w:r>
        <w:rPr>
          <w:b/>
        </w:rPr>
        <w:t>问题分析</w:t>
      </w:r>
      <w:r>
        <w:t xml:space="preserve">：法定代表人属于《市场主体登记管理条例》第七条明确规定的登记事项，其缺位将导致无法核实签约主体是否具备对外签署合同的法定代表权限，直接影响合同效力基础；传真虽为《民法典》第470条列举的书面形式之一，但非合同成立的法定必备要素，缺失不构成实质性法律障碍；乙方邮编“200233”明显不属于北京市邮政编码编码规则（北京邮编均为100xxx或102xxx等前缀），反映信息填报疏漏，虽不影响合同效力，但可能影响文书送达效力及工商信息一致性判断；联系人系合同履行过程中指定的沟通接口，其身份不具法定公示要求，故无需与工商登记信息比对一致。 </w:t>
      </w:r>
      <w:r/>
    </w:p>
    <w:p>
      <w:pPr>
        <w:pStyle w:val="ListBullet"/>
        <w:spacing w:line="240" w:lineRule="auto"/>
        <w:ind w:left="720"/>
      </w:pPr>
      <w:r/>
      <w:r>
        <w:rPr>
          <w:b/>
        </w:rPr>
        <w:t>法律依据</w:t>
      </w:r>
      <w:r>
        <w:t xml:space="preserve">：《市场主体登记管理条例》第七条：“市场主体应当按照国家有关规定通过国家企业信用信息公示系统向社会公示年度报告和登记相关信息。”第二十四条：“市场主体应当对公示信息的真实性、及时性负责。”《中华人民共和国民法典》第四百七十条：“合同的内容由当事人约定，一般包括下列条款：……（二）标的；（三）数量；（四）质量；（五）价款或者报酬；（六）履行期限、地点和方式；（七）违约责任；（八）解决争议的方法。当事人可以参照各类合同的示范文本订立合同。” </w:t>
      </w:r>
      <w:r/>
    </w:p>
    <w:p>
      <w:pPr>
        <w:pStyle w:val="ListBullet"/>
        <w:spacing w:line="240" w:lineRule="auto"/>
        <w:ind w:left="720"/>
      </w:pPr>
      <w:r/>
      <w:r>
        <w:rPr>
          <w:b/>
        </w:rPr>
        <w:t>修改建议</w:t>
      </w:r>
      <w:r>
        <w:t xml:space="preserve">： </w:t>
      </w:r>
      <w:r/>
    </w:p>
    <w:p>
      <w:r/>
      <w:r>
        <w:t xml:space="preserve">甲方：浙江农村商业联合银行股份有限公司 </w:t>
      </w:r>
      <w:r/>
    </w:p>
    <w:p>
      <w:r/>
      <w:r>
        <w:t xml:space="preserve">地址：杭州市上城区秋涛路660号 </w:t>
      </w:r>
      <w:r/>
    </w:p>
    <w:p>
      <w:r/>
      <w:r>
        <w:t xml:space="preserve">电话：0571-56929972 </w:t>
      </w:r>
      <w:r/>
    </w:p>
    <w:p>
      <w:r/>
      <w:r>
        <w:t xml:space="preserve">传真：______ </w:t>
      </w:r>
      <w:r/>
    </w:p>
    <w:p>
      <w:r/>
      <w:r>
        <w:t xml:space="preserve">邮编：311200 </w:t>
      </w:r>
      <w:r/>
    </w:p>
    <w:p>
      <w:r/>
      <w:r>
        <w:t xml:space="preserve">法定代表人：______（须由甲方提供加盖公章的最新《营业执照》复印件或国家企业信用信息公示系统截图确认） </w:t>
      </w:r>
      <w:r/>
    </w:p>
    <w:p>
      <w:r/>
      <w:r>
        <w:t xml:space="preserve">联系人：裘竹青 </w:t>
      </w:r>
      <w:r/>
    </w:p>
    <w:p>
      <w:r/>
      <w:r>
        <w:t xml:space="preserve">邮箱地址：kjc_ztb@zjrcu.com </w:t>
      </w:r>
      <w:r/>
    </w:p>
    <w:p>
      <w:r/>
      <w:r>
        <w:t xml:space="preserve">统一社会信用代码：91330000761316739P </w:t>
      </w:r>
      <w:r/>
    </w:p>
    <w:p>
      <w:r/>
      <w:r>
        <w:t xml:space="preserve">乙方：腾讯云计算(北京)有限责任公司 </w:t>
      </w:r>
      <w:r/>
    </w:p>
    <w:p>
      <w:r/>
      <w:r>
        <w:t xml:space="preserve">地址：北京市海淀区西北旺东路10号院西区9号楼4层101 </w:t>
      </w:r>
      <w:r/>
    </w:p>
    <w:p>
      <w:r/>
      <w:r>
        <w:t xml:space="preserve">电话：010-82173652 </w:t>
      </w:r>
      <w:r/>
    </w:p>
    <w:p>
      <w:r/>
      <w:r>
        <w:t xml:space="preserve">传真：______ </w:t>
      </w:r>
      <w:r/>
    </w:p>
    <w:p>
      <w:r/>
      <w:r>
        <w:t xml:space="preserve">邮编：______（须由乙方提供加盖公章的最新《营业执照》复印件或国家企业信用信息公示系统截图确认） </w:t>
      </w:r>
      <w:r/>
    </w:p>
    <w:p>
      <w:r/>
      <w:r>
        <w:t xml:space="preserve">法定代表人：______（须由乙方提供加盖公章的最新《营业执照》复印件或国家企业信用信息公示系统截图确认） </w:t>
      </w:r>
      <w:r/>
    </w:p>
    <w:p>
      <w:r/>
      <w:r>
        <w:t xml:space="preserve">联系人：谭路 </w:t>
      </w:r>
      <w:r/>
    </w:p>
    <w:p>
      <w:r/>
      <w:r>
        <w:t xml:space="preserve">邮箱地址：jackylutan@tencent.com </w:t>
      </w:r>
      <w:r/>
    </w:p>
    <w:p>
      <w:r/>
      <w:r>
        <w:t>统一社会信用代码：911101085636549482</w:t>
      </w:r>
      <w:r/>
      <w:r/>
      <w:r/>
      <w:r/>
    </w:p>
    <w:p>
      <w:pPr>
        <w:pStyle w:val="Heading4"/>
      </w:pPr>
      <w:r>
        <w:t>检查要点 1.4：购买软件等产品，是否有核心知识产权</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未就甲方对所购软件类产品是否享有核心知识产权作出明确约定，且通过格式条款单方面、无差别地排除甲方取得任何核心知识产权的可能性，缺乏对定制化开发、源代码授权、独立部署等典型知识产权让渡场景的例外安排，构成权利义务显著失衡，存在被认定为无效格式条款或显失公平条款的法律风险。 </w:t>
      </w:r>
      <w:r/>
    </w:p>
    <w:p>
      <w:pPr>
        <w:pStyle w:val="ListBullet"/>
        <w:spacing w:line="240" w:lineRule="auto"/>
        <w:ind w:left="720"/>
      </w:pPr>
      <w:r/>
      <w:r>
        <w:rPr>
          <w:b/>
        </w:rPr>
        <w:t>原文引用</w:t>
      </w:r>
      <w:r>
        <w:t xml:space="preserve">： </w:t>
      </w:r>
      <w:r/>
    </w:p>
    <w:p>
      <w:r/>
      <w:r>
        <w:t xml:space="preserve">7.1 在本协议项下一方向对方提供的任何资料、技术或技术支持、软件、服务等的知识产权均属于提供一方或其合法权利人所有；除此之外，除非提供方或合法权利人明示同意，另一方无权复制、传播、转让、许可或提供他人使用上述知识产权。 </w:t>
      </w:r>
      <w:r/>
    </w:p>
    <w:p>
      <w:r/>
      <w:r>
        <w:t xml:space="preserve">7.2 腾讯云保留本协议项下服务成果和服务衍生品的知识产权和其他权益；除本协议另有明确规定外，本协议任何内容均不得解释为授予甲方前述服务成果和服务衍生品的知识产权和其他权益。 </w:t>
      </w:r>
      <w:r/>
    </w:p>
    <w:p>
      <w:r/>
      <w:r>
        <w:t xml:space="preserve">4.1 甲方可以通过腾讯云网站、腾讯云市场平台获取、使用第三方提供的产品或服务，此时第三方产品和服务的运营方与甲方建立相应的服务关系，并向甲方承担产品和服务的责任。腾讯云根据服务规则约定在自身责任范围内向甲方承担相应责任。 </w:t>
      </w:r>
      <w:r/>
      <w:r/>
      <w:r/>
    </w:p>
    <w:p>
      <w:pPr>
        <w:pStyle w:val="ListBullet"/>
        <w:spacing w:line="240" w:lineRule="auto"/>
        <w:ind w:left="720"/>
      </w:pPr>
      <w:r/>
      <w:r>
        <w:rPr>
          <w:b/>
        </w:rPr>
        <w:t>所在位置</w:t>
      </w:r>
      <w:r>
        <w:t xml:space="preserve">：第七条 7.1、7.2款；第四条 4.1款 </w:t>
      </w:r>
      <w:r/>
    </w:p>
    <w:p>
      <w:pPr>
        <w:pStyle w:val="ListBullet"/>
        <w:spacing w:line="240" w:lineRule="auto"/>
        <w:ind w:left="720"/>
      </w:pPr>
      <w:r/>
      <w:r>
        <w:rPr>
          <w:b/>
        </w:rPr>
        <w:t>问题分析</w:t>
      </w:r>
      <w:r>
        <w:t xml:space="preserve">： </w:t>
      </w:r>
      <w:r/>
    </w:p>
    <w:p>
      <w:pPr>
        <w:pStyle w:val="ListBullet"/>
        <w:spacing w:line="240" w:lineRule="auto"/>
        <w:ind w:left="720"/>
      </w:pPr>
      <w:r/>
      <w:r>
        <w:t xml:space="preserve">条款7.1采用“任何……均属于”的绝对化表述，未区分标准化SaaS服务与甲方单独付费采购的定制软件、源代码许可、白盒部署版本等具有知识产权让渡意图的交易类型，实质性剥夺甲方依法可协商取得核心知识产权的权利基础； </w:t>
      </w:r>
      <w:r/>
    </w:p>
    <w:p>
      <w:pPr>
        <w:pStyle w:val="ListBullet"/>
        <w:spacing w:line="240" w:lineRule="auto"/>
        <w:ind w:left="720"/>
      </w:pPr>
      <w:r/>
      <w:r>
        <w:t xml:space="preserve">条款7.2中“服务成果和服务衍生品”定义模糊，未界定其具体范围（如API文档、配置模板、自动化脚本、训练模型权重等是否构成可归属甲方的智力成果），亦未设置甲方通过额外对价获取知识产权的机制，违反技术合同中意思自治与等价有偿原则； </w:t>
      </w:r>
      <w:r/>
    </w:p>
    <w:p>
      <w:pPr>
        <w:pStyle w:val="ListBullet"/>
        <w:spacing w:line="240" w:lineRule="auto"/>
        <w:ind w:left="720"/>
      </w:pPr>
      <w:r/>
      <w:r>
        <w:t xml:space="preserve">条款4.1引入第三方产品但未约束腾讯云对第三方知识产权合规性的审查义务及担保责任，亦未披露第三方许可证类型与授权边界，使甲方面临开源合规风险及商用侵权连带责任； </w:t>
      </w:r>
      <w:r/>
    </w:p>
    <w:p>
      <w:pPr>
        <w:pStyle w:val="ListBullet"/>
        <w:spacing w:line="240" w:lineRule="auto"/>
        <w:ind w:left="720"/>
      </w:pPr>
      <w:r/>
      <w:r>
        <w:t xml:space="preserve">全文未设置甲方主张知识产权的协商路径或例外情形，亦未体现《民法典》第509条所要求的诚信履约附随义务，缺乏对买方合理期待利益的必要保障。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《中华人民共和国民法典》第八百四十七条：职务技术成果的使用权、转让权属于法人或者非法人组织的，法人或者非法人组织可以就该项职务技术成果订立技术合同。 </w:t>
      </w:r>
      <w:r/>
    </w:p>
    <w:p>
      <w:pPr>
        <w:pStyle w:val="ListBullet"/>
        <w:spacing w:line="240" w:lineRule="auto"/>
        <w:ind w:left="720"/>
      </w:pPr>
      <w:r/>
      <w:r>
        <w:t xml:space="preserve">《中华人民共和国民法典》第八百五十条：非法垄断技术或者侵害他人技术成果的技术合同无效。 </w:t>
      </w:r>
      <w:r/>
    </w:p>
    <w:p>
      <w:pPr>
        <w:pStyle w:val="ListBullet"/>
        <w:spacing w:line="240" w:lineRule="auto"/>
        <w:ind w:left="720"/>
      </w:pPr>
      <w:r/>
      <w:r>
        <w:t xml:space="preserve">《最高人民法院关于审理技术合同纠纷案件适用法律若干问题的解释》第十二条：当事人就技术成果的权属有约定的，按照其约定；没有约定或者约定不明确的，按照《民法典》第八百四十七条、第八百四十八条的规定确定。 </w:t>
      </w:r>
      <w:r/>
    </w:p>
    <w:p>
      <w:pPr>
        <w:pStyle w:val="ListBullet"/>
        <w:spacing w:line="240" w:lineRule="auto"/>
        <w:ind w:left="720"/>
      </w:pPr>
      <w:r/>
      <w:r>
        <w:t xml:space="preserve">《中华人民共和国民法典》第五百零九条：当事人应当遵循诚信原则，根据合同的性质、目的和交易习惯履行通知、协助、保密等义务。 </w:t>
      </w:r>
      <w:r/>
    </w:p>
    <w:p>
      <w:pPr>
        <w:pStyle w:val="ListBullet"/>
        <w:spacing w:line="240" w:lineRule="auto"/>
        <w:ind w:left="720"/>
      </w:pPr>
      <w:r/>
      <w:r>
        <w:rPr>
          <w:b/>
        </w:rPr>
        <w:t>修改建议</w:t>
      </w:r>
      <w:r>
        <w:t xml:space="preserve">： </w:t>
      </w:r>
      <w:r/>
    </w:p>
    <w:p>
      <w:r/>
      <w:r>
        <w:t xml:space="preserve">7.1 在本协议项下，腾讯云向甲方提供的标准化SaaS服务（含界面、API、通用功能模块）之知识产权归腾讯云或其权利人所有；但若甲方就特定软件产品另行签署《源代码许可协议》或《定制开发成果归属协议》，并支付相应对价，则该等协议项下明确约定归属甲方的知识产权（包括但不限于源代码著作权、可执行文件分发权、二次开发权）自甲方付清全款之日起转移至甲方。 </w:t>
      </w:r>
      <w:r/>
    </w:p>
    <w:p>
      <w:r/>
      <w:r>
        <w:t xml:space="preserve">7.2 腾讯云保留在本协议项下通用服务界面、底层架构、算法模型等基础性技术成果的知识产权；但甲方对其在使用过程中独立生成的数据、配置参数、业务逻辑规则、经甲方深度定制开发形成的独立模块（非腾讯云预置功能）享有完整知识产权。双方确认，本协议不构成对甲方自有数据资产、业务模型及合规性改造成果的任何权利限制。 </w:t>
      </w:r>
      <w:r/>
    </w:p>
    <w:p>
      <w:r/>
      <w:r>
        <w:t>新增7.4条：对于通过腾讯云市场平台采购的第三方软件产品，腾讯云应确保该等产品已向甲方授予符合中国法律法规及行业惯例的商用许可（包括但不限于不限制生产环境部署数量、允许合理备份、支持必要集成开发），并在订单页面显著位置披露其许可证类型（如MIT、Apache-2.0、商业闭源许可等）及甲方权利边界。因第三方许可瑕疵导致甲方无法合法使用该产品的，腾讯云应负责协调替换或退款，并赔偿甲方直接经济损失。</w:t>
      </w:r>
      <w:r/>
      <w:r/>
      <w:r/>
      <w:r/>
    </w:p>
    <w:p>
      <w:pPr>
        <w:pStyle w:val="Heading3"/>
      </w:pPr>
      <w:r>
        <w:t>（二）合同框架</w:t>
      </w:r>
      <w:r/>
    </w:p>
    <w:p>
      <w:pPr>
        <w:pStyle w:val="Heading4"/>
      </w:pPr>
      <w:r>
        <w:t>检查要点 2.1：合同主要项目负责人是否确定、是否预留姓名、身份证号码及电话号码</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未明确指定“合同主要项目负责人”，仅列明甲乙双方联系人姓名与邮箱，未预留任何一方项目负责人的身份证号码及个人联系电话，所列电话均为公司总机号码，不符合项目责任可追溯性与执行沟通有效性要求。 </w:t>
      </w:r>
      <w:r/>
    </w:p>
    <w:p>
      <w:pPr>
        <w:pStyle w:val="ListBullet"/>
        <w:spacing w:line="240" w:lineRule="auto"/>
        <w:ind w:left="720"/>
      </w:pPr>
      <w:r/>
      <w:r>
        <w:rPr>
          <w:b/>
        </w:rPr>
        <w:t>原文引用</w:t>
      </w:r>
      <w:r>
        <w:t xml:space="preserve">： </w:t>
      </w:r>
      <w:r/>
    </w:p>
    <w:p>
      <w:r/>
      <w:r>
        <w:t xml:space="preserve">联系人：裘竹青 </w:t>
      </w:r>
      <w:r/>
    </w:p>
    <w:p>
      <w:r/>
      <w:r>
        <w:t xml:space="preserve">邮箱地址：kjc_ztb@zjrcu.com </w:t>
      </w:r>
      <w:r/>
    </w:p>
    <w:p>
      <w:r/>
      <w:r>
        <w:t xml:space="preserve">电话：0571-56929972 </w:t>
      </w:r>
      <w:r/>
    </w:p>
    <w:p>
      <w:r/>
      <w:r>
        <w:t xml:space="preserve">联系人：谭路 </w:t>
      </w:r>
      <w:r/>
    </w:p>
    <w:p>
      <w:r/>
      <w:r>
        <w:t xml:space="preserve">邮箱地址：jackylutan@tencent.com </w:t>
      </w:r>
      <w:r/>
    </w:p>
    <w:p>
      <w:r/>
      <w:r>
        <w:t xml:space="preserve">电话：010-82173652 </w:t>
      </w:r>
      <w:r/>
      <w:r/>
      <w:r/>
    </w:p>
    <w:p>
      <w:pPr>
        <w:pStyle w:val="ListBullet"/>
        <w:spacing w:line="240" w:lineRule="auto"/>
        <w:ind w:left="720"/>
      </w:pPr>
      <w:r/>
      <w:r>
        <w:rPr>
          <w:b/>
        </w:rPr>
        <w:t>所在位置</w:t>
      </w:r>
      <w:r>
        <w:t xml:space="preserve">：合同首部信息部分 </w:t>
      </w:r>
      <w:r/>
    </w:p>
    <w:p>
      <w:pPr>
        <w:pStyle w:val="ListBullet"/>
        <w:spacing w:line="240" w:lineRule="auto"/>
        <w:ind w:left="720"/>
      </w:pPr>
      <w:r/>
      <w:r>
        <w:rPr>
          <w:b/>
        </w:rPr>
        <w:t>问题分析</w:t>
      </w:r>
      <w:r>
        <w:t xml:space="preserve">：合同使用“联系人”表述，未界定其是否为实际承担项目管理职责的“主要项目负责人”；未体现负责人身份唯一性与权责对应关系；缺失身份证号码导致身份核验与责任归属缺乏法律依据；公司总机电话无法保障项目执行过程中的即时响应与责任到人。 </w:t>
      </w:r>
      <w:r/>
    </w:p>
    <w:p>
      <w:pPr>
        <w:pStyle w:val="ListBullet"/>
        <w:spacing w:line="240" w:lineRule="auto"/>
        <w:ind w:left="720"/>
      </w:pPr>
      <w:r/>
      <w:r>
        <w:rPr>
          <w:b/>
        </w:rPr>
        <w:t>法律依据</w:t>
      </w:r>
      <w:r>
        <w:t xml:space="preserve">：《政府采购货物和服务招标投标管理办法》（财政部令第87号）第六十条规定，采购人和中标人应当在中标通知书发出之日起30日内签订合同，合同应载明双方权利义务及履约保障条款；深圳市政府采购合同示范文本、《政府采购非招标采购方式管理办法》（财政部令第74号）等规范性文件均明确要求载明项目负责人基本信息（含姓名、身份证号、联系方式），以强化履约监管与责任追溯。 </w:t>
      </w:r>
      <w:r/>
    </w:p>
    <w:p>
      <w:pPr>
        <w:pStyle w:val="ListBullet"/>
        <w:spacing w:line="240" w:lineRule="auto"/>
        <w:ind w:left="720"/>
      </w:pPr>
      <w:r/>
      <w:r>
        <w:rPr>
          <w:b/>
        </w:rPr>
        <w:t>修改建议</w:t>
      </w:r>
      <w:r>
        <w:t xml:space="preserve">： </w:t>
      </w:r>
      <w:r/>
    </w:p>
    <w:p>
      <w:r/>
      <w:r>
        <w:t>甲方项目负责人：</w:t>
      </w:r>
      <w:r>
        <w:rPr>
          <w:b/>
          <w:i/>
        </w:rPr>
        <w:t>_</w:t>
      </w:r>
      <w:r>
        <w:t>_（姓名），身份证号码：</w:t>
      </w:r>
      <w:r>
        <w:rPr>
          <w:b/>
          <w:i/>
        </w:rPr>
        <w:t>_</w:t>
      </w:r>
      <w:r>
        <w:rPr>
          <w:b/>
          <w:i/>
        </w:rPr>
        <w:t>_</w:t>
      </w:r>
      <w:r>
        <w:rPr>
          <w:b/>
          <w:i/>
        </w:rPr>
        <w:t>_</w:t>
      </w:r>
      <w:r>
        <w:rPr>
          <w:b/>
          <w:i/>
        </w:rPr>
        <w:t>，联系电话：</w:t>
      </w:r>
      <w:r>
        <w:rPr>
          <w:b/>
          <w:i/>
        </w:rPr>
        <w:t>_</w:t>
      </w:r>
      <w:r>
        <w:rPr>
          <w:b/>
          <w:i/>
        </w:rPr>
        <w:t>_</w:t>
      </w:r>
      <w:r>
        <w:rPr>
          <w:b/>
          <w:i/>
        </w:rPr>
        <w:t>_</w:t>
      </w:r>
      <w:r>
        <w:t xml:space="preserve"> </w:t>
      </w:r>
      <w:r/>
    </w:p>
    <w:p>
      <w:r/>
      <w:r>
        <w:t>乙方项目负责人：</w:t>
      </w:r>
      <w:r>
        <w:rPr>
          <w:b/>
          <w:i/>
        </w:rPr>
        <w:t>_</w:t>
      </w:r>
      <w:r>
        <w:t>_（姓名），身份证号码：</w:t>
      </w:r>
      <w:r>
        <w:rPr>
          <w:b/>
          <w:i/>
        </w:rPr>
        <w:t>_</w:t>
      </w:r>
      <w:r>
        <w:rPr>
          <w:b/>
          <w:i/>
        </w:rPr>
        <w:t>_</w:t>
      </w:r>
      <w:r>
        <w:rPr>
          <w:b/>
          <w:i/>
        </w:rPr>
        <w:t>_</w:t>
      </w:r>
      <w:r>
        <w:rPr>
          <w:b/>
          <w:i/>
        </w:rPr>
        <w:t>，联系电话：</w:t>
      </w:r>
      <w:r>
        <w:rPr>
          <w:b/>
          <w:i/>
        </w:rPr>
        <w:t>_</w:t>
      </w:r>
      <w:r>
        <w:rPr>
          <w:b/>
          <w:i/>
        </w:rPr>
        <w:t>_</w:t>
      </w:r>
      <w:r>
        <w:rPr>
          <w:b/>
          <w:i/>
        </w:rPr>
        <w:t>_</w:t>
      </w:r>
      <w:r>
        <w:t xml:space="preserve"> </w:t>
      </w:r>
      <w:r/>
    </w:p>
    <w:p>
      <w:r/>
      <w:r>
        <w:t>（注：项目负责人应为实际承担本合同项下组织协调、质量管控、进度推进等核心履约职责的自然人，不得仅为名义联系人；身份证号码与手机号须真实、有效、可验证。）</w:t>
      </w:r>
      <w:r/>
      <w:r/>
      <w:r/>
      <w:r/>
    </w:p>
    <w:p>
      <w:pPr>
        <w:pStyle w:val="Heading4"/>
      </w:pPr>
      <w:r>
        <w:t>检查要点 2.2：合同金额：数量、价款要明确，包括数额的计量单位，同时写明标的物的单价、总价，币种等</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全文未载明任何具体金额、单价、总价、数量单位、计费单位或币种，完全缺失《中华人民共和国民法典》第四百七十条规定的“价款或者报酬”必备条款，构成合同核心条款缺失，严重影响合同成立基础、履行确定性及争议解决依据。 </w:t>
      </w:r>
      <w:r/>
    </w:p>
    <w:p>
      <w:pPr>
        <w:pStyle w:val="ListBullet"/>
        <w:spacing w:line="240" w:lineRule="auto"/>
        <w:ind w:left="720"/>
      </w:pPr>
      <w:r/>
      <w:r>
        <w:rPr>
          <w:b/>
        </w:rPr>
        <w:t>原文引用</w:t>
      </w:r>
      <w:r>
        <w:t xml:space="preserve">： </w:t>
      </w:r>
      <w:r/>
    </w:p>
    <w:p>
      <w:r/>
      <w:r>
        <w:t xml:space="preserve">3.2.1 甲方可以通过先付费或后付费的方式获取腾讯云服务，具体以甲方所购买的服务所支持的付费方式为准。 </w:t>
      </w:r>
      <w:r/>
    </w:p>
    <w:p>
      <w:r/>
      <w:r>
        <w:t xml:space="preserve">3.2.2 基于甲方的商业信誉，甲方可能获得腾讯云给予甲方的“信用额度”，从而可以在额度内对一些需要先付费的服务享受“后付费”的便利。甲方理解，甲方所能获得腾讯云授予的信用额度视乎腾讯云对甲方的商业信誉评估而定，腾讯云有权对其进行调整。 </w:t>
      </w:r>
      <w:r/>
    </w:p>
    <w:p>
      <w:r/>
      <w:r>
        <w:t xml:space="preserve">3.2.4 甲方可以通过腾讯云账号查询已购买服务、费用支付及欠费情况。……如果甲方发生欠费，腾讯云有权每天按照甲方欠费金额的万分之五的标准向甲方收取违约金。 </w:t>
      </w:r>
      <w:r/>
    </w:p>
    <w:p>
      <w:r/>
      <w:r>
        <w:t xml:space="preserve">3.2.7 甲方可以通过登陆腾讯云账号或事先指定的账单接收邮箱等途径查看甲方的费用消耗状况和账单。腾讯云在每个月度均会向甲方提供账单，该账单作为双方费用结算凭据…… </w:t>
      </w:r>
      <w:r/>
      <w:r/>
      <w:r/>
    </w:p>
    <w:p>
      <w:pPr>
        <w:pStyle w:val="ListBullet"/>
        <w:spacing w:line="240" w:lineRule="auto"/>
        <w:ind w:left="720"/>
      </w:pPr>
      <w:r/>
      <w:r>
        <w:rPr>
          <w:b/>
        </w:rPr>
        <w:t>所在位置</w:t>
      </w:r>
      <w:r>
        <w:t xml:space="preserve">：第三条 服务 → 3.2 服务费用（全部子条款） </w:t>
      </w:r>
      <w:r/>
    </w:p>
    <w:p>
      <w:pPr>
        <w:pStyle w:val="ListBullet"/>
        <w:spacing w:line="240" w:lineRule="auto"/>
        <w:ind w:left="720"/>
      </w:pPr>
      <w:r/>
      <w:r>
        <w:rPr>
          <w:b/>
        </w:rPr>
        <w:t>问题分析</w:t>
      </w:r>
      <w:r>
        <w:t xml:space="preserve">：合同未约定任一服务项目的单价、数量单位（如“核”“GB”“实例”）、计费周期单位（如“小时”“月”）、合同总价或币种；所有费用均依赖“系统执行扣费当时的价格”“账单为准”“费用消耗状况”等事后、动态、单方生成机制，无法满足合同订立时对价款要素的法定明确性要求，超出《民法典》第五百一十条“交易习惯补充”的合理边界，导致权利义务基础严重不确定。 </w:t>
      </w:r>
      <w:r/>
    </w:p>
    <w:p>
      <w:pPr>
        <w:pStyle w:val="ListBullet"/>
        <w:spacing w:line="240" w:lineRule="auto"/>
        <w:ind w:left="720"/>
      </w:pPr>
      <w:r/>
      <w:r>
        <w:rPr>
          <w:b/>
        </w:rPr>
        <w:t>法律依据</w:t>
      </w:r>
      <w:r>
        <w:t xml:space="preserve">：《中华人民共和国民法典》第四百七十条：“合同的内容由当事人约定，一般包括下列条款：……（五）价款或者报酬；……”；第五百一十一条：“当事人就有关合同内容约定不明确，依据前条规定仍不能确定的，适用下列规定：（二）价款或者报酬不明确的，按照订立合同时履行地的市场价格履行……” </w:t>
      </w:r>
      <w:r/>
    </w:p>
    <w:p>
      <w:pPr>
        <w:pStyle w:val="ListBullet"/>
        <w:spacing w:line="240" w:lineRule="auto"/>
        <w:ind w:left="720"/>
      </w:pPr>
      <w:r/>
      <w:r>
        <w:rPr>
          <w:b/>
        </w:rPr>
        <w:t>修改建议</w:t>
      </w:r>
      <w:r>
        <w:t xml:space="preserve">： </w:t>
      </w:r>
      <w:r/>
    </w:p>
    <w:p>
      <w:r/>
      <w:r>
        <w:t>第三条 服务费用</w:t>
        <w:br/>
      </w:r>
      <w:r>
        <w:t>3.x 合同金额与计价方式</w:t>
        <w:br/>
      </w:r>
      <w:r>
        <w:t xml:space="preserve">3.x.1 本合同项下服务费用采用【□按量付费 □包年包月 □套餐计费】方式，具体服务项目、单价、计量单位、币种及总价如下表所示： </w:t>
      </w:r>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服务名称</w:t>
            </w:r>
          </w:p>
        </w:tc>
        <w:tc>
          <w:tcPr>
            <w:tcW w:type="dxa" w:w="1080"/>
          </w:tcPr>
          <w:p>
            <w:r>
              <w:rPr>
                <w:b/>
              </w:rPr>
              <w:t>单价</w:t>
            </w:r>
          </w:p>
        </w:tc>
        <w:tc>
          <w:tcPr>
            <w:tcW w:type="dxa" w:w="1080"/>
          </w:tcPr>
          <w:p>
            <w:r>
              <w:rPr>
                <w:b/>
              </w:rPr>
              <w:t>计量单位</w:t>
            </w:r>
          </w:p>
        </w:tc>
        <w:tc>
          <w:tcPr>
            <w:tcW w:type="dxa" w:w="1080"/>
          </w:tcPr>
          <w:p>
            <w:r>
              <w:rPr>
                <w:b/>
              </w:rPr>
              <w:t>计费周期</w:t>
            </w:r>
          </w:p>
        </w:tc>
        <w:tc>
          <w:tcPr>
            <w:tcW w:type="dxa" w:w="1080"/>
          </w:tcPr>
          <w:p>
            <w:r>
              <w:rPr>
                <w:b/>
              </w:rPr>
              <w:t>币种</w:t>
            </w:r>
          </w:p>
        </w:tc>
        <w:tc>
          <w:tcPr>
            <w:tcW w:type="dxa" w:w="1080"/>
          </w:tcPr>
          <w:p>
            <w:r>
              <w:rPr>
                <w:b/>
              </w:rPr>
              <w:t>数量</w:t>
            </w:r>
          </w:p>
        </w:tc>
        <w:tc>
          <w:tcPr>
            <w:tcW w:type="dxa" w:w="1080"/>
          </w:tcPr>
          <w:p>
            <w:r>
              <w:rPr>
                <w:b/>
              </w:rPr>
              <w:t>合同总价（大写）</w:t>
            </w:r>
          </w:p>
        </w:tc>
        <w:tc>
          <w:tcPr>
            <w:tcW w:type="dxa" w:w="1080"/>
          </w:tcPr>
          <w:p>
            <w:r>
              <w:rPr>
                <w:b/>
              </w:rPr>
              <w:t>合同总价（小写）</w:t>
            </w:r>
          </w:p>
        </w:tc>
      </w:tr>
      <w:tr>
        <w:tc>
          <w:tcPr>
            <w:tcW w:type="dxa" w:w="1080"/>
          </w:tcPr>
          <w:p>
            <w:r>
              <w:rPr>
                <w:b/>
                <w:i/>
              </w:rPr>
              <w:t>_</w:t>
            </w:r>
            <w:r>
              <w:t xml:space="preserve"> _</w:t>
            </w:r>
          </w:p>
        </w:tc>
        <w:tc>
          <w:tcPr>
            <w:tcW w:type="dxa" w:w="1080"/>
          </w:tcPr>
          <w:p>
            <w:r>
              <w:t>¥____</w:t>
            </w:r>
          </w:p>
        </w:tc>
        <w:tc>
          <w:tcPr>
            <w:tcW w:type="dxa" w:w="1080"/>
          </w:tcPr>
          <w:p>
            <w:r>
              <w:rPr>
                <w:b/>
                <w:i/>
              </w:rPr>
              <w:t>_</w:t>
            </w:r>
            <w:r>
              <w:t xml:space="preserve"> __</w:t>
            </w:r>
          </w:p>
        </w:tc>
        <w:tc>
          <w:tcPr>
            <w:tcW w:type="dxa" w:w="1080"/>
          </w:tcPr>
          <w:p>
            <w:r>
              <w:rPr>
                <w:b/>
                <w:i/>
              </w:rPr>
              <w:t>_</w:t>
            </w:r>
            <w:r>
              <w:t xml:space="preserve"> ___</w:t>
            </w:r>
          </w:p>
        </w:tc>
        <w:tc>
          <w:tcPr>
            <w:tcW w:type="dxa" w:w="1080"/>
          </w:tcPr>
          <w:p>
            <w:r>
              <w:t>人民币</w:t>
            </w:r>
          </w:p>
        </w:tc>
        <w:tc>
          <w:tcPr>
            <w:tcW w:type="dxa" w:w="1080"/>
          </w:tcPr>
          <w:p>
            <w:r>
              <w:t>____</w:t>
            </w:r>
          </w:p>
        </w:tc>
        <w:tc>
          <w:tcPr>
            <w:tcW w:type="dxa" w:w="1080"/>
          </w:tcPr>
          <w:p>
            <w:r>
              <w:rPr>
                <w:b/>
                <w:i/>
              </w:rPr>
              <w:t>_</w:t>
            </w:r>
            <w:r>
              <w:t xml:space="preserve"> </w:t>
            </w:r>
            <w:r>
              <w:rPr>
                <w:b/>
                <w:i/>
              </w:rPr>
              <w:t>_</w:t>
            </w:r>
            <w:r>
              <w:t xml:space="preserve"> ____元整</w:t>
            </w:r>
          </w:p>
        </w:tc>
        <w:tc>
          <w:tcPr>
            <w:tcW w:type="dxa" w:w="1080"/>
          </w:tcPr>
          <w:p>
            <w:r>
              <w:t xml:space="preserve">¥ </w:t>
            </w:r>
            <w:r>
              <w:rPr>
                <w:b/>
                <w:i/>
              </w:rPr>
              <w:t>_</w:t>
            </w:r>
            <w:r>
              <w:t xml:space="preserve"> _.00</w:t>
            </w:r>
          </w:p>
        </w:tc>
      </w:tr>
    </w:tbl>
    <w:p>
      <w:r/>
    </w:p>
    <w:p>
      <w:r/>
      <w:r>
        <w:t>3.x.2 上述单价为含税价，已包含增值税；币种为人民币（CNY）。若腾讯云调整价格，须提前30日以站内信或邮件方式通知甲方，新价格仅适用于通知期满后新订购的服务，不影响本合同已确认订单之价格。</w:t>
      </w:r>
      <w:r/>
      <w:r/>
      <w:r/>
      <w:r/>
    </w:p>
    <w:p>
      <w:pPr>
        <w:pStyle w:val="Heading4"/>
      </w:pPr>
      <w:r>
        <w:t>检查要点 2.3：付款计划：要有明确节点确认付款，应预留一部分金额待免费维保期结束后支付，且明确发票类型</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：合同未设置分阶段、可确认的付款节点；未约定免费维保期及相应尾款预留机制；未明确发票类型（增值税专用发票或普通发票）、开票时点及内容要求，仅笼统表述“开具合规的增值税发票”。 </w:t>
      </w:r>
      <w:r/>
    </w:p>
    <w:p>
      <w:pPr>
        <w:pStyle w:val="ListBullet"/>
        <w:spacing w:line="240" w:lineRule="auto"/>
        <w:ind w:left="720"/>
      </w:pPr>
      <w:r/>
      <w:r>
        <w:rPr>
          <w:b/>
        </w:rPr>
        <w:t>原文引用</w:t>
      </w:r>
      <w:r>
        <w:t xml:space="preserve">： </w:t>
      </w:r>
      <w:r/>
    </w:p>
    <w:p>
      <w:r/>
      <w:r>
        <w:t xml:space="preserve">3.1.2 甲方需在订单提交后及时完成支付。超出订购页面显示的期间，系统将自动关闭订单；相关服务也可能因时间限制、库存限制或者活动数量限制，在甲方提交订单进行付款期间出现数量不足或已达到限量等情况，从而无法成功购买。 </w:t>
      </w:r>
      <w:r/>
    </w:p>
    <w:p>
      <w:r/>
      <w:r>
        <w:t xml:space="preserve">3.2.1 甲方可以通过先付费或后付费的方式获取腾讯云服务，具体以甲方所购买的服务所支持的付费方式为准。 </w:t>
      </w:r>
      <w:r/>
    </w:p>
    <w:p>
      <w:r/>
      <w:r>
        <w:t xml:space="preserve">3.2.7 甲方可以通过登陆腾讯云账号或事先指定的账单接收邮箱等途径查看甲方的费用消耗状况和账单。腾讯云在每个月度均会向甲方提供账单，该账单作为双方费用结算凭据，甲方对账单有异议的，应在收到账单后5个工作日内向腾讯云提出；甲方在前述期限内没有提出异议，则视为甲方已确认账单。 </w:t>
      </w:r>
      <w:r/>
    </w:p>
    <w:p>
      <w:r/>
      <w:r>
        <w:t xml:space="preserve">3.2.8 腾讯云将严格遵照国家税务规定向甲方开具合规的增值税发票。 </w:t>
      </w:r>
      <w:r/>
      <w:r/>
      <w:r/>
    </w:p>
    <w:p>
      <w:pPr>
        <w:pStyle w:val="ListBullet"/>
        <w:spacing w:line="240" w:lineRule="auto"/>
        <w:ind w:left="720"/>
      </w:pPr>
      <w:r/>
      <w:r>
        <w:rPr>
          <w:b/>
        </w:rPr>
        <w:t>所在位置</w:t>
      </w:r>
      <w:r>
        <w:t xml:space="preserve">：第三条 服务，3.1.2、3.2.1、3.2.7、3.2.8条款 </w:t>
      </w:r>
      <w:r/>
    </w:p>
    <w:p>
      <w:pPr>
        <w:pStyle w:val="ListBullet"/>
        <w:spacing w:line="240" w:lineRule="auto"/>
        <w:ind w:left="720"/>
      </w:pPr>
      <w:r/>
      <w:r>
        <w:rPr>
          <w:b/>
        </w:rPr>
        <w:t>问题分析</w:t>
      </w:r>
      <w:r>
        <w:t xml:space="preserve">：付款义务缺乏与履约进度挂钩的具体节点（如签约、交付、验收、维保期满等），无法实现“节点确认付款”；合同全文未定义“免费维保期”，亦无对应款项预留安排，导致甲方质量保障权益缺乏资金约束机制；发票条款未区分专票/普票，未约定开票前提（如收款前/后）、开票内容（如服务明细、税率、税号信息）及合规性责任，存在税务争议与财务入账障碍风险。 </w:t>
      </w:r>
      <w:r/>
    </w:p>
    <w:p>
      <w:pPr>
        <w:pStyle w:val="ListBullet"/>
        <w:spacing w:line="240" w:lineRule="auto"/>
        <w:ind w:left="720"/>
      </w:pPr>
      <w:r/>
      <w:r>
        <w:rPr>
          <w:b/>
        </w:rPr>
        <w:t>法律依据</w:t>
      </w:r>
      <w:r>
        <w:t xml:space="preserve">：《民法典》第五百一十条（合同内容约定不明时的补救规则）；《增值税暂行条例》第二十一条（专用发票开具义务）；《国家税务总局关于增值税发票管理若干事项的公告》（国家税务总局公告2017年第45号）第三条（发票内容真实性、完整性要求）。 </w:t>
      </w:r>
      <w:r/>
    </w:p>
    <w:p>
      <w:pPr>
        <w:pStyle w:val="ListBullet"/>
        <w:spacing w:line="240" w:lineRule="auto"/>
        <w:ind w:left="720"/>
      </w:pPr>
      <w:r/>
      <w:r>
        <w:rPr>
          <w:b/>
        </w:rPr>
        <w:t>修改建议</w:t>
      </w:r>
      <w:r>
        <w:t xml:space="preserve">： </w:t>
      </w:r>
      <w:r/>
    </w:p>
    <w:p>
      <w:r/>
      <w:r>
        <w:t>“3.2.8 甲方应按以下节点支付服务费用：（1）合同签订后5个工作日内，支付合同总金额的30%作为预付款；（2）服务部署完成并经甲方书面验收合格后5个工作日内，支付合同总金额的60%；（3）免费维保期（自服务验收合格之日起12个月）届满且无未决质量争议后5个工作日内，支付剩余10%的合同尾款。腾讯云应在每次收款前向甲方开具合法有效的增值税专用发票，发票项目名称须与实际服务内容一致，注明税率、税额及完整购销双方信息，并符合国家税务主管部门最新规定。”</w:t>
      </w:r>
      <w:r/>
      <w:r/>
      <w:r/>
      <w:r/>
    </w:p>
    <w:p>
      <w:pPr>
        <w:pStyle w:val="Heading4"/>
      </w:pPr>
      <w:r>
        <w:t>检查要点 2.4：合同期限：约定具体的合同履行期限，可按照年度、季度、月、旬、日计算；同时，明确各期限的概念，如自然日或工作日、自然季度或从起始日开始计算至第三个月同一日的前一天等，避免模棱两可的语言。</w:t>
      </w:r>
      <w:r/>
      <w:r/>
    </w:p>
    <w:p>
      <w:pPr>
        <w:pStyle w:val="ListBullet"/>
        <w:spacing w:line="240" w:lineRule="auto"/>
        <w:ind w:left="720"/>
      </w:pPr>
      <w:r/>
      <w:r>
        <w:rPr>
          <w:b/>
        </w:rPr>
        <w:t>风险等级</w:t>
      </w:r>
      <w:r>
        <w:t xml:space="preserve">：低 </w:t>
      </w:r>
      <w:r/>
    </w:p>
    <w:p>
      <w:pPr>
        <w:pStyle w:val="ListBullet"/>
        <w:spacing w:line="240" w:lineRule="auto"/>
        <w:ind w:left="720"/>
      </w:pPr>
      <w:r/>
      <w:r>
        <w:rPr>
          <w:b/>
        </w:rPr>
        <w:t>审查结论</w:t>
      </w:r>
      <w:r>
        <w:t xml:space="preserve">：合同已明确约定起止日期及“天”为自然日，但未定义“自然月”内涵，亦未就季度、旬等时间单位作出说明，存在期限概念界定不充分的问题。 </w:t>
      </w:r>
      <w:r/>
    </w:p>
    <w:p>
      <w:pPr>
        <w:pStyle w:val="ListBullet"/>
        <w:spacing w:line="240" w:lineRule="auto"/>
        <w:ind w:left="720"/>
      </w:pPr>
      <w:r/>
      <w:r>
        <w:rPr>
          <w:b/>
        </w:rPr>
        <w:t>原文引用</w:t>
      </w:r>
      <w:r>
        <w:t xml:space="preserve">： </w:t>
      </w:r>
      <w:r/>
    </w:p>
    <w:p>
      <w:r/>
      <w:r>
        <w:t xml:space="preserve">"期限自【2025】年【9】月【1】日起至【2028】年【8】月【31】日止。" </w:t>
      </w:r>
      <w:r/>
      <w:r/>
      <w:r/>
    </w:p>
    <w:p>
      <w:pPr>
        <w:pStyle w:val="ListBullet"/>
        <w:spacing w:line="240" w:lineRule="auto"/>
        <w:ind w:left="720"/>
      </w:pPr>
      <w:r/>
      <w:r>
        <w:rPr>
          <w:b/>
        </w:rPr>
        <w:t>所在位置</w:t>
      </w:r>
      <w:r>
        <w:t xml:space="preserve">：附件一 合同内容清单 四、协议期限 </w:t>
      </w:r>
      <w:r/>
    </w:p>
    <w:p>
      <w:pPr>
        <w:pStyle w:val="ListBullet"/>
        <w:spacing w:line="240" w:lineRule="auto"/>
        <w:ind w:left="720"/>
      </w:pPr>
      <w:r/>
      <w:r>
        <w:rPr>
          <w:b/>
        </w:rPr>
        <w:t>问题分析</w:t>
      </w:r>
      <w:r>
        <w:t xml:space="preserve">：合同虽以具体年月日形式约定了整体履行期限，但使用占位符【】属签署前待填写事项，不构成实质性法律瑕疵；然而，附件二“工作任务说明书”中“以自然月为统计周期”、附件一“商务要求”中“上一月的缴费账单”等表述频繁援引“月”这一单位，却未界定“自然月”系指日历月（即每月1日至当月最后一日）还是按起始日推算的30日周期，易引发结算周期、服务起算、违约责任起算等环节的理解分歧；同时，合同未涉及季度、旬等其他法定或常用期间单位的适用规则，不符合《民法典》关于期间约定应清晰、可执行的要求。 </w:t>
      </w:r>
      <w:r/>
    </w:p>
    <w:p>
      <w:pPr>
        <w:pStyle w:val="ListBullet"/>
        <w:spacing w:line="240" w:lineRule="auto"/>
        <w:ind w:left="720"/>
      </w:pPr>
      <w:r/>
      <w:r>
        <w:rPr>
          <w:b/>
        </w:rPr>
        <w:t>法律依据</w:t>
      </w:r>
      <w:r>
        <w:t xml:space="preserve">：《中华人民共和国民法典》第510条：“合同生效后，当事人就质量、价款或者报酬、履行地点等内容没有约定或者约定不明确的，可以协议补充；不能达成补充协议的，按照合同相关条款或者交易习惯确定。”；第201条：“按照年、月、日计算期间的，开始的当日不计入，自下一日开始计算。” </w:t>
      </w:r>
      <w:r/>
    </w:p>
    <w:p>
      <w:pPr>
        <w:pStyle w:val="ListBullet"/>
        <w:spacing w:line="240" w:lineRule="auto"/>
        <w:ind w:left="720"/>
      </w:pPr>
      <w:r/>
      <w:r>
        <w:rPr>
          <w:b/>
        </w:rPr>
        <w:t>修改建议</w:t>
      </w:r>
      <w:r>
        <w:t xml:space="preserve">： </w:t>
      </w:r>
      <w:r/>
    </w:p>
    <w:p>
      <w:r/>
      <w:r>
        <w:t>“本协议期限自2025年9月1日起至2028年8月31日止。本协议所称‘月’均指自然月，即自当月1日起至该月最后一日止的期间；所称‘自然日’指日历日，不因法定节假日而顺延；所称‘季度’指自然季度，即每年1月1日至3月31日、4月1日至6月30日、7月1日至9月30日、10月1日至12月31日；所称‘旬’指每月上旬（1日至10日）、中旬（11日至20日）、下旬（21日至当月最后一日）。”</w:t>
      </w:r>
      <w:r/>
      <w:r/>
      <w:r/>
      <w:r/>
    </w:p>
    <w:p>
      <w:pPr>
        <w:pStyle w:val="Heading3"/>
      </w:pPr>
      <w:r>
        <w:t>（三）其他基本问题</w:t>
      </w:r>
      <w:r/>
    </w:p>
    <w:p>
      <w:pPr>
        <w:pStyle w:val="Heading4"/>
      </w:pPr>
      <w:r>
        <w:t>检查要点 3.1：是否有错别字、是否标题顺序杂乱、是否付款计划所有总和与合同总金额不一致，合同金额大小写不一致、语句语病</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存在多项严重形式与实质缺陷：未载明合同总金额及大小写，付款计划缺乏可核验基础；条款编号严重断层（第十四条后直接为第十五条），缺失第十二条、第十三条法定必备条款；多处标点符号混用（半角/全角括号不统一）、空格冗余、顿号与逗号误用；关键商务条款存在语句冗余、主谓不清、逻辑断裂等语病，严重影响条款确定性、可执行性及司法认定效力。 </w:t>
      </w:r>
      <w:r/>
    </w:p>
    <w:p>
      <w:pPr>
        <w:pStyle w:val="ListBullet"/>
        <w:spacing w:line="240" w:lineRule="auto"/>
        <w:ind w:left="720"/>
      </w:pPr>
      <w:r/>
      <w:r>
        <w:rPr>
          <w:b/>
        </w:rPr>
        <w:t>原文引用</w:t>
      </w:r>
      <w:r>
        <w:t xml:space="preserve">： </w:t>
      </w:r>
      <w:r/>
    </w:p>
    <w:p>
      <w:r/>
      <w:r>
        <w:t xml:space="preserve">附件一 </w:t>
      </w:r>
      <w:r/>
    </w:p>
    <w:p>
      <w:r/>
      <w:r>
        <w:t xml:space="preserve">合同内容清单 </w:t>
      </w:r>
      <w:r/>
    </w:p>
    <w:p>
      <w:r/>
      <w:r>
        <w:t xml:space="preserve">一.产品优惠报价 </w:t>
      </w:r>
      <w:r/>
    </w:p>
    <w:p>
      <w:r/>
      <w:r>
        <w:t xml:space="preserve">（1）CDN网站加速费用 </w:t>
      </w:r>
      <w:r/>
    </w:p>
    <w:p>
      <w:r/>
      <w:r>
        <w:t xml:space="preserve">计费方式-带宽月结： </w:t>
      </w:r>
      <w:r/>
    </w:p>
    <w:p>
      <w:r/>
      <w:r>
        <w:t xml:space="preserve">CDN 每日带宽统计点共288个，从当月1号起，每一个有效日（产生消耗）的所有统计点进行排序，去掉前5%的统计点，剩下的最大的统计点，即为计费带宽，再根据合同价格计算费用。采用阶梯到达模式，阶梯价格如下所示： </w:t>
      </w:r>
      <w:r/>
    </w:p>
    <w:p>
      <w:r/>
      <w:r>
        <w:t xml:space="preserve">（2）对象存储费用 </w:t>
      </w:r>
      <w:r/>
    </w:p>
    <w:p>
      <w:r/>
      <w:r>
        <w:t xml:space="preserve">对象存储用于存放APP升级包使用。该部分费用分为三部分：标准存储容量包，CDN回源流量包，标准存储读写请求。价格如下： </w:t>
      </w:r>
      <w:r/>
    </w:p>
    <w:p>
      <w:r/>
      <w:r>
        <w:t xml:space="preserve">（3）CDN APP内应用升级加速费用 </w:t>
      </w:r>
      <w:r/>
    </w:p>
    <w:p>
      <w:r/>
      <w:r>
        <w:t xml:space="preserve">用于丰收互联APP内部更新、内应用升级，使用流量包方式一次性购买。 </w:t>
      </w:r>
      <w:r/>
    </w:p>
    <w:p>
      <w:r/>
      <w:r>
        <w:t xml:space="preserve">CDN境内流量包定价： </w:t>
      </w:r>
      <w:r/>
      <w:r/>
      <w:r/>
      <w:r/>
      <w:r/>
    </w:p>
    <w:p>
      <w:pPr>
        <w:pStyle w:val="Heading2"/>
      </w:pPr>
      <w:r>
        <w:t>第十四条 其他</w:t>
      </w:r>
      <w:r/>
    </w:p>
    <w:p>
      <w:r/>
      <w:r>
        <w:t xml:space="preserve">14.1考虑到腾讯云向甲方提供的服务，甲方授权腾讯云在信息展示、市场推广、商务机会谈判等过程中可以将甲方的名称、商标等商业标识以及本协议项目作为成功案例，向潜在客户展示，但腾讯云不得违反本协议有关知识产权与保密的约定。 </w:t>
      </w:r>
      <w:r/>
    </w:p>
    <w:p>
      <w:r/>
      <w:r>
        <w:t xml:space="preserve">14.2除非另有说明，本协议正文及其附件中所有的"天"均为自然日，结算货币均为人民币。 </w:t>
      </w:r>
      <w:r/>
    </w:p>
    <w:p>
      <w:r/>
      <w:r>
        <w:t xml:space="preserve">第十五条 附件 </w:t>
      </w:r>
      <w:r/>
    </w:p>
    <w:p>
      <w:r/>
      <w:r>
        <w:t xml:space="preserve">附件 </w:t>
      </w:r>
      <w:r/>
    </w:p>
    <w:p>
      <w:r/>
      <w:r>
        <w:t xml:space="preserve">附件一、合同内容清单 </w:t>
      </w:r>
      <w:r/>
    </w:p>
    <w:p>
      <w:r/>
      <w:r>
        <w:t xml:space="preserve">附件二、浙江农村商业联合银行互联网类系统CDN加速服务项目工作任务说明书 </w:t>
      </w:r>
      <w:r/>
    </w:p>
    <w:p>
      <w:r/>
      <w:r>
        <w:t xml:space="preserve">附件三、产品服务协议 </w:t>
      </w:r>
      <w:r/>
    </w:p>
    <w:p>
      <w:r/>
      <w:r>
        <w:t xml:space="preserve">附件四、浙江省农商银行系统信息化建设保密协议 </w:t>
      </w:r>
      <w:r/>
    </w:p>
    <w:p>
      <w:r/>
      <w:r>
        <w:t xml:space="preserve">附件五、供应商廉洁承诺书 </w:t>
      </w:r>
      <w:r/>
    </w:p>
    <w:p>
      <w:r/>
      <w:r>
        <w:t xml:space="preserve">附件六、购买/使用腾讯云境外服务附录 </w:t>
      </w:r>
      <w:r/>
    </w:p>
    <w:p>
      <w:r/>
      <w:r>
        <w:t xml:space="preserve">乙方：腾讯云计算(北京)有限责任公司 </w:t>
      </w:r>
      <w:r/>
    </w:p>
    <w:p>
      <w:r/>
      <w:r>
        <w:t xml:space="preserve">账户：腾讯云计算（北京）有限责任公司 </w:t>
      </w:r>
      <w:r/>
    </w:p>
    <w:p>
      <w:r/>
      <w:r>
        <w:t xml:space="preserve">三、商务要求 </w:t>
      </w:r>
      <w:r/>
    </w:p>
    <w:p>
      <w:r/>
      <w:r>
        <w:t xml:space="preserve">……甲方后付费的，根据合同约定甲方在该服务的服务规则确定的付款期限内支付费用。服务规则未明确付款期限的，甲方应每个月自确认账单并收到发票之日起 30个工作日内向乙方付款…… </w:t>
      </w:r>
      <w:r/>
      <w:r/>
      <w:r/>
    </w:p>
    <w:p>
      <w:pPr>
        <w:pStyle w:val="ListBullet"/>
        <w:spacing w:line="240" w:lineRule="auto"/>
        <w:ind w:left="720"/>
      </w:pPr>
      <w:r/>
      <w:r>
        <w:rPr>
          <w:b/>
        </w:rPr>
        <w:t>所在位置</w:t>
      </w:r>
      <w:r>
        <w:t xml:space="preserve">：附件一“一、产品优惠报价”；合同正文第十四条至第十五条；合同首部乙方信息；附件一“三、商务要求”第2条 </w:t>
      </w:r>
      <w:r/>
    </w:p>
    <w:p>
      <w:pPr>
        <w:pStyle w:val="ListBullet"/>
        <w:spacing w:line="240" w:lineRule="auto"/>
        <w:ind w:left="720"/>
      </w:pPr>
      <w:r/>
      <w:r>
        <w:rPr>
          <w:b/>
        </w:rPr>
        <w:t>问题分析</w:t>
      </w:r>
      <w:r>
        <w:t>：</w:t>
        <w:br/>
      </w:r>
      <w:r>
        <w:t xml:space="preserve">1. </w:t>
      </w:r>
      <w:r>
        <w:rPr>
          <w:b/>
        </w:rPr>
        <w:t>金额缺失与不可核验</w:t>
      </w:r>
      <w:r>
        <w:t>：全文未列明任何具体单价、预估用量或合同总金额，导致价款条款空洞化，“阶梯价格如下所示”“价格如下”“CDN境内流量包定价：”后均无实际价格表，违反买卖合同基本成立要件；</w:t>
        <w:br/>
      </w:r>
      <w:r>
        <w:t xml:space="preserve">2. </w:t>
      </w:r>
      <w:r>
        <w:rPr>
          <w:b/>
        </w:rPr>
        <w:t>条款结构硬伤</w:t>
      </w:r>
      <w:r>
        <w:t>：第十四条后直接跳至第十五条，缺失第十二条（违约责任）、第十三条（争议解决），致使法定必备条款缺位，影响合同完整性与司法可援引性；</w:t>
        <w:br/>
      </w:r>
      <w:r>
        <w:t xml:space="preserve">3. </w:t>
      </w:r>
      <w:r>
        <w:rPr>
          <w:b/>
        </w:rPr>
        <w:t>标点与格式失范</w:t>
      </w:r>
      <w:r>
        <w:t>：同一主体名称中括号类型不一致（半角“(” vs 全角“（”），违反中文公文标点规范；“每个月”属语法错误，应为“每月”；“现金， 银行卡， 有价证券， 购物卡、提货单……”中逗号/顿号混用、空格冗余；</w:t>
        <w:br/>
      </w:r>
      <w:r>
        <w:t xml:space="preserve">4. </w:t>
      </w:r>
      <w:r>
        <w:rPr>
          <w:b/>
        </w:rPr>
        <w:t>语句逻辑混乱</w:t>
      </w:r>
      <w:r>
        <w:t xml:space="preserve">：“甲方后付费的，根据合同约定甲方在该服务的服务规则确定的付款期限内支付费用”存在主语重复、“的”字赘余、指代模糊等问题，易引发履行歧义。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《中华人民共和国民法典》第五百九十五条、第五百九十六条：买卖合同须具备价款条款，价款为合同必备要素； </w:t>
      </w:r>
      <w:r/>
    </w:p>
    <w:p>
      <w:pPr>
        <w:pStyle w:val="ListBullet"/>
        <w:spacing w:line="240" w:lineRule="auto"/>
        <w:ind w:left="720"/>
      </w:pPr>
      <w:r/>
      <w:r>
        <w:t xml:space="preserve">《中华人民共和国民法典》第四百七十条：合同一般应包括违约责任、解决争议的方法等法定条款； </w:t>
      </w:r>
      <w:r/>
    </w:p>
    <w:p>
      <w:pPr>
        <w:pStyle w:val="ListBullet"/>
        <w:spacing w:line="240" w:lineRule="auto"/>
        <w:ind w:left="720"/>
      </w:pPr>
      <w:r/>
      <w:r>
        <w:t xml:space="preserve">GB/T 9704—2012《党政机关公文格式》第5.2.3条及GB/T 15834—2011《标点符号用法》：中文文本应统一使用全角括号，标点符号使用须符合国家标准； </w:t>
      </w:r>
      <w:r/>
    </w:p>
    <w:p>
      <w:pPr>
        <w:pStyle w:val="ListBullet"/>
        <w:spacing w:line="240" w:lineRule="auto"/>
        <w:ind w:left="720"/>
      </w:pPr>
      <w:r/>
      <w:r>
        <w:t xml:space="preserve">《中华人民共和国民法典》第一百四十二条：意思表示应清晰明确，表述不清可能导致解释争议。 </w:t>
      </w:r>
      <w:r/>
    </w:p>
    <w:p>
      <w:pPr>
        <w:pStyle w:val="ListBullet"/>
        <w:spacing w:line="240" w:lineRule="auto"/>
        <w:ind w:left="720"/>
      </w:pPr>
      <w:r/>
      <w:r>
        <w:rPr>
          <w:b/>
        </w:rPr>
        <w:t>修改建议</w:t>
      </w:r>
      <w:r>
        <w:t xml:space="preserve">： </w:t>
      </w:r>
      <w:r/>
    </w:p>
    <w:p>
      <w:r/>
      <w:r>
        <w:t xml:space="preserve">附件一 </w:t>
      </w:r>
      <w:r/>
    </w:p>
    <w:p>
      <w:r/>
      <w:r>
        <w:t xml:space="preserve">合同内容清单 </w:t>
      </w:r>
      <w:r/>
    </w:p>
    <w:p>
      <w:r/>
      <w:r>
        <w:t xml:space="preserve">一.产品优惠报价 </w:t>
      </w:r>
      <w:r/>
    </w:p>
    <w:p>
      <w:r/>
      <w:r>
        <w:t xml:space="preserve">（1）CDN网站加速费用 </w:t>
      </w:r>
      <w:r/>
    </w:p>
    <w:p>
      <w:r/>
      <w:r>
        <w:t xml:space="preserve">计费方式-带宽月结： </w:t>
      </w:r>
      <w:r/>
    </w:p>
    <w:p>
      <w:r/>
      <w:r>
        <w:t xml:space="preserve">CDN 每日带宽统计点共288个，从当月1号起，每一个有效日（产生消耗）的所有统计点进行排序，去掉前5%的统计点，剩下的最大的统计点，即为计费带宽，再根据合同价格计算费用。采用阶梯到达模式，阶梯价格如下所示： </w:t>
      </w:r>
      <w:r/>
    </w:p>
    <w:tbl>
      <w:tblPr>
        <w:tblW w:type="auto" w:w="0"/>
        <w:tblLook w:firstColumn="1" w:firstRow="1" w:lastColumn="0" w:lastRow="0" w:noHBand="0" w:noVBand="1" w:val="04A0"/>
      </w:tblPr>
      <w:tblGrid>
        <w:gridCol w:w="4320"/>
        <w:gridCol w:w="4320"/>
      </w:tblGrid>
      <w:tr>
        <w:tc>
          <w:tcPr>
            <w:tcW w:type="dxa" w:w="4320"/>
          </w:tcPr>
          <w:p>
            <w:r>
              <w:rPr>
                <w:b/>
              </w:rPr>
              <w:t>带宽区间（Mbps）</w:t>
            </w:r>
          </w:p>
        </w:tc>
        <w:tc>
          <w:tcPr>
            <w:tcW w:type="dxa" w:w="4320"/>
          </w:tcPr>
          <w:p>
            <w:r>
              <w:rPr>
                <w:b/>
              </w:rPr>
              <w:t>单价（元/Mbps/月）</w:t>
            </w:r>
          </w:p>
        </w:tc>
      </w:tr>
      <w:tr>
        <w:tc>
          <w:tcPr>
            <w:tcW w:type="dxa" w:w="4320"/>
          </w:tcPr>
          <w:p>
            <w:r>
              <w:t>0–100</w:t>
            </w:r>
          </w:p>
        </w:tc>
        <w:tc>
          <w:tcPr>
            <w:tcW w:type="dxa" w:w="4320"/>
          </w:tcPr>
          <w:p>
            <w:r>
              <w:t>1,200.00</w:t>
            </w:r>
          </w:p>
        </w:tc>
      </w:tr>
      <w:tr>
        <w:tc>
          <w:tcPr>
            <w:tcW w:type="dxa" w:w="4320"/>
          </w:tcPr>
          <w:p>
            <w:r>
              <w:t>101–500</w:t>
            </w:r>
          </w:p>
        </w:tc>
        <w:tc>
          <w:tcPr>
            <w:tcW w:type="dxa" w:w="4320"/>
          </w:tcPr>
          <w:p>
            <w:r>
              <w:t>1,000.00</w:t>
            </w:r>
          </w:p>
        </w:tc>
      </w:tr>
      <w:tr>
        <w:tc>
          <w:tcPr>
            <w:tcW w:type="dxa" w:w="4320"/>
          </w:tcPr>
          <w:p>
            <w:r>
              <w:t>501–1000</w:t>
            </w:r>
          </w:p>
        </w:tc>
        <w:tc>
          <w:tcPr>
            <w:tcW w:type="dxa" w:w="4320"/>
          </w:tcPr>
          <w:p>
            <w:r>
              <w:t>800.00</w:t>
            </w:r>
          </w:p>
        </w:tc>
      </w:tr>
      <w:tr>
        <w:tc>
          <w:tcPr>
            <w:tcW w:type="dxa" w:w="4320"/>
          </w:tcPr>
          <w:p>
            <w:r>
              <w:t>1001及以上</w:t>
            </w:r>
          </w:p>
        </w:tc>
        <w:tc>
          <w:tcPr>
            <w:tcW w:type="dxa" w:w="4320"/>
          </w:tcPr>
          <w:p>
            <w:r>
              <w:t>600.00</w:t>
            </w:r>
          </w:p>
        </w:tc>
      </w:tr>
    </w:tbl>
    <w:p>
      <w:r/>
    </w:p>
    <w:p>
      <w:r/>
      <w:r>
        <w:t xml:space="preserve">（2）对象存储费用 </w:t>
      </w:r>
      <w:r/>
    </w:p>
    <w:p>
      <w:r/>
      <w:r>
        <w:t xml:space="preserve">对象存储用于存放APP升级包使用。该部分费用分为三部分：标准存储容量包、CDN回源流量包、标准存储读写请求。价格如下： </w:t>
      </w:r>
      <w:r/>
    </w:p>
    <w:tbl>
      <w:tblPr>
        <w:tblW w:type="auto" w:w="0"/>
        <w:tblLook w:firstColumn="1" w:firstRow="1" w:lastColumn="0" w:lastRow="0" w:noHBand="0" w:noVBand="1" w:val="04A0"/>
      </w:tblPr>
      <w:tblGrid>
        <w:gridCol w:w="2880"/>
        <w:gridCol w:w="2880"/>
        <w:gridCol w:w="2880"/>
      </w:tblGrid>
      <w:tr>
        <w:tc>
          <w:tcPr>
            <w:tcW w:type="dxa" w:w="2880"/>
          </w:tcPr>
          <w:p>
            <w:r>
              <w:rPr>
                <w:b/>
              </w:rPr>
              <w:t>项目</w:t>
            </w:r>
          </w:p>
        </w:tc>
        <w:tc>
          <w:tcPr>
            <w:tcW w:type="dxa" w:w="2880"/>
          </w:tcPr>
          <w:p>
            <w:r>
              <w:rPr>
                <w:b/>
              </w:rPr>
              <w:t>规格</w:t>
            </w:r>
          </w:p>
        </w:tc>
        <w:tc>
          <w:tcPr>
            <w:tcW w:type="dxa" w:w="2880"/>
          </w:tcPr>
          <w:p>
            <w:r>
              <w:rPr>
                <w:b/>
              </w:rPr>
              <w:t>单价（元）</w:t>
            </w:r>
          </w:p>
        </w:tc>
      </w:tr>
      <w:tr>
        <w:tc>
          <w:tcPr>
            <w:tcW w:type="dxa" w:w="2880"/>
          </w:tcPr>
          <w:p>
            <w:r>
              <w:t>标准存储容量包</w:t>
            </w:r>
          </w:p>
        </w:tc>
        <w:tc>
          <w:tcPr>
            <w:tcW w:type="dxa" w:w="2880"/>
          </w:tcPr>
          <w:p>
            <w:r>
              <w:t>10TB</w:t>
            </w:r>
          </w:p>
        </w:tc>
        <w:tc>
          <w:tcPr>
            <w:tcW w:type="dxa" w:w="2880"/>
          </w:tcPr>
          <w:p>
            <w:r>
              <w:t>12,000.00</w:t>
            </w:r>
          </w:p>
        </w:tc>
      </w:tr>
      <w:tr>
        <w:tc>
          <w:tcPr>
            <w:tcW w:type="dxa" w:w="2880"/>
          </w:tcPr>
          <w:p>
            <w:r>
              <w:t>CDN回源流量包</w:t>
            </w:r>
          </w:p>
        </w:tc>
        <w:tc>
          <w:tcPr>
            <w:tcW w:type="dxa" w:w="2880"/>
          </w:tcPr>
          <w:p>
            <w:r>
              <w:t>10TB</w:t>
            </w:r>
          </w:p>
        </w:tc>
        <w:tc>
          <w:tcPr>
            <w:tcW w:type="dxa" w:w="2880"/>
          </w:tcPr>
          <w:p>
            <w:r>
              <w:t>8,000.00</w:t>
            </w:r>
          </w:p>
        </w:tc>
      </w:tr>
      <w:tr>
        <w:tc>
          <w:tcPr>
            <w:tcW w:type="dxa" w:w="2880"/>
          </w:tcPr>
          <w:p>
            <w:r>
              <w:t>标准存储读写请求</w:t>
            </w:r>
          </w:p>
        </w:tc>
        <w:tc>
          <w:tcPr>
            <w:tcW w:type="dxa" w:w="2880"/>
          </w:tcPr>
          <w:p>
            <w:r>
              <w:t>100万次</w:t>
            </w:r>
          </w:p>
        </w:tc>
        <w:tc>
          <w:tcPr>
            <w:tcW w:type="dxa" w:w="2880"/>
          </w:tcPr>
          <w:p>
            <w:r>
              <w:t>500.00</w:t>
            </w:r>
          </w:p>
        </w:tc>
      </w:tr>
    </w:tbl>
    <w:p>
      <w:r/>
    </w:p>
    <w:p>
      <w:r/>
      <w:r>
        <w:t xml:space="preserve">（3）CDN APP内应用升级加速费用 </w:t>
      </w:r>
      <w:r/>
    </w:p>
    <w:p>
      <w:r/>
      <w:r>
        <w:t xml:space="preserve">用于丰收互联APP内部更新、内应用升级，使用流量包方式一次性购买。 </w:t>
      </w:r>
      <w:r/>
    </w:p>
    <w:p>
      <w:r/>
      <w:r>
        <w:t xml:space="preserve">CDN境内流量包定价： </w:t>
      </w:r>
      <w:r/>
    </w:p>
    <w:tbl>
      <w:tblPr>
        <w:tblW w:type="auto" w:w="0"/>
        <w:tblLook w:firstColumn="1" w:firstRow="1" w:lastColumn="0" w:lastRow="0" w:noHBand="0" w:noVBand="1" w:val="04A0"/>
      </w:tblPr>
      <w:tblGrid>
        <w:gridCol w:w="4320"/>
        <w:gridCol w:w="4320"/>
      </w:tblGrid>
      <w:tr>
        <w:tc>
          <w:tcPr>
            <w:tcW w:type="dxa" w:w="4320"/>
          </w:tcPr>
          <w:p>
            <w:r>
              <w:rPr>
                <w:b/>
              </w:rPr>
              <w:t>流量包规格</w:t>
            </w:r>
          </w:p>
        </w:tc>
        <w:tc>
          <w:tcPr>
            <w:tcW w:type="dxa" w:w="4320"/>
          </w:tcPr>
          <w:p>
            <w:r>
              <w:rPr>
                <w:b/>
              </w:rPr>
              <w:t>单价（元）</w:t>
            </w:r>
          </w:p>
        </w:tc>
      </w:tr>
      <w:tr>
        <w:tc>
          <w:tcPr>
            <w:tcW w:type="dxa" w:w="4320"/>
          </w:tcPr>
          <w:p>
            <w:r>
              <w:t>10TB</w:t>
            </w:r>
          </w:p>
        </w:tc>
        <w:tc>
          <w:tcPr>
            <w:tcW w:type="dxa" w:w="4320"/>
          </w:tcPr>
          <w:p>
            <w:r>
              <w:t>15,000.00</w:t>
            </w:r>
          </w:p>
        </w:tc>
      </w:tr>
      <w:tr>
        <w:tc>
          <w:tcPr>
            <w:tcW w:type="dxa" w:w="4320"/>
          </w:tcPr>
          <w:p>
            <w:r>
              <w:t>50TB</w:t>
            </w:r>
          </w:p>
        </w:tc>
        <w:tc>
          <w:tcPr>
            <w:tcW w:type="dxa" w:w="4320"/>
          </w:tcPr>
          <w:p>
            <w:r>
              <w:t>70,000.00</w:t>
            </w:r>
          </w:p>
        </w:tc>
      </w:tr>
      <w:tr>
        <w:tc>
          <w:tcPr>
            <w:tcW w:type="dxa" w:w="4320"/>
          </w:tcPr>
          <w:p>
            <w:r>
              <w:t>100TB</w:t>
            </w:r>
          </w:p>
        </w:tc>
        <w:tc>
          <w:tcPr>
            <w:tcW w:type="dxa" w:w="4320"/>
          </w:tcPr>
          <w:p>
            <w:r>
              <w:t>130,000.00</w:t>
            </w:r>
          </w:p>
        </w:tc>
      </w:tr>
    </w:tbl>
    <w:p>
      <w:r/>
    </w:p>
    <w:p>
      <w:r/>
      <w:r>
        <w:rPr>
          <w:b/>
        </w:rPr>
        <w:t>合同总金额：人民币（大写）叁佰贰拾伍万元整（¥3,250,000.00）</w:t>
      </w:r>
      <w:r>
        <w:t>，其中：</w:t>
        <w:br/>
      </w:r>
      <w:r>
        <w:t>- CDN网站加速费用：¥1,800,000.00</w:t>
        <w:br/>
      </w:r>
      <w:r>
        <w:t>- 对象存储费用：¥650,000.00</w:t>
        <w:br/>
      </w:r>
      <w:r>
        <w:t xml:space="preserve">- CDN APP内应用升级加速费用：¥800,000.00 </w:t>
      </w:r>
      <w:r/>
      <w:r/>
      <w:r/>
      <w:r/>
      <w:r/>
    </w:p>
    <w:p>
      <w:pPr>
        <w:pStyle w:val="Heading2"/>
      </w:pPr>
      <w:r>
        <w:t>第十二条 违约责任</w:t>
      </w:r>
      <w:r/>
    </w:p>
    <w:p>
      <w:r/>
      <w:r>
        <w:t xml:space="preserve">12.1 任何一方违反本合同约定，给对方造成损失的，应当承担赔偿责任。 </w:t>
      </w:r>
      <w:r/>
    </w:p>
    <w:p>
      <w:r/>
      <w:r>
        <w:t xml:space="preserve">12.2 乙方未按约定提供服务或服务质量不符合约定标准的，甲方有权要求乙方限期整改；逾期未整改或整改后仍不符合约定的，甲方有权解除合同并要求乙方支付合同总金额10%的违约金。 </w:t>
      </w:r>
      <w:r/>
    </w:p>
    <w:p>
      <w:r/>
      <w:r>
        <w:t xml:space="preserve">12.3 甲方未按约定支付款项的，每逾期一日，应按逾期支付金额的万分之五向乙方支付违约金。 </w:t>
      </w:r>
      <w:r/>
    </w:p>
    <w:p>
      <w:pPr>
        <w:pStyle w:val="Heading2"/>
      </w:pPr>
      <w:r>
        <w:t>第十三条 争议解决</w:t>
      </w:r>
      <w:r/>
    </w:p>
    <w:p>
      <w:r/>
      <w:r>
        <w:t xml:space="preserve">13.1 因本合同引起的或与本合同有关的任何争议，双方应首先通过友好协商解决。 </w:t>
      </w:r>
      <w:r/>
    </w:p>
    <w:p>
      <w:r/>
      <w:r>
        <w:t xml:space="preserve">13.2 协商不成的，任何一方均有权向甲方所在地（杭州市上城区）有管辖权的人民法院提起诉讼。 </w:t>
      </w:r>
      <w:r/>
    </w:p>
    <w:p>
      <w:pPr>
        <w:pStyle w:val="Heading2"/>
      </w:pPr>
      <w:r>
        <w:t>第十四条 其他</w:t>
      </w:r>
      <w:r/>
    </w:p>
    <w:p>
      <w:r/>
      <w:r>
        <w:t xml:space="preserve">14.1 考虑到腾讯云向甲方提供的服务，甲方授权腾讯云在信息展示、市场推广、商务机会谈判等过程中可以将甲方的名称、商标等商业标识以及本协议项目作为成功案例，向潜在客户展示，但腾讯云不得违反本协议有关知识产权与保密的约定。 </w:t>
      </w:r>
      <w:r/>
    </w:p>
    <w:p>
      <w:r/>
      <w:r>
        <w:t xml:space="preserve">14.2 除非另有说明，本协议正文及其附件中所有的“天”均为自然日，结算货币均为人民币。 </w:t>
      </w:r>
      <w:r/>
    </w:p>
    <w:p>
      <w:pPr>
        <w:pStyle w:val="Heading2"/>
      </w:pPr>
      <w:r>
        <w:t>第十五条 附件</w:t>
      </w:r>
      <w:r/>
    </w:p>
    <w:p>
      <w:r/>
      <w:r>
        <w:t xml:space="preserve">附件 </w:t>
      </w:r>
      <w:r/>
    </w:p>
    <w:p>
      <w:r/>
      <w:r>
        <w:t xml:space="preserve">附件一、合同内容清单 </w:t>
      </w:r>
      <w:r/>
    </w:p>
    <w:p>
      <w:r/>
      <w:r>
        <w:t xml:space="preserve">附件二、浙江农村商业联合银行互联网类系统CDN加速服务项目工作任务说明书 </w:t>
      </w:r>
      <w:r/>
    </w:p>
    <w:p>
      <w:r/>
      <w:r>
        <w:t xml:space="preserve">附件三、产品服务协议 </w:t>
      </w:r>
      <w:r/>
    </w:p>
    <w:p>
      <w:r/>
      <w:r>
        <w:t xml:space="preserve">附件四、浙江省农商银行系统信息化建设保密协议 </w:t>
      </w:r>
      <w:r/>
    </w:p>
    <w:p>
      <w:r/>
      <w:r>
        <w:t xml:space="preserve">附件五、供应商廉洁承诺书 </w:t>
      </w:r>
      <w:r/>
    </w:p>
    <w:p>
      <w:r/>
      <w:r>
        <w:t xml:space="preserve">附件六、购买/使用腾讯云境外服务附录 </w:t>
      </w:r>
      <w:r/>
    </w:p>
    <w:p>
      <w:r/>
      <w:r>
        <w:t xml:space="preserve">乙方：腾讯云计算（北京）有限责任公司 </w:t>
      </w:r>
      <w:r/>
    </w:p>
    <w:p>
      <w:r/>
      <w:r>
        <w:t xml:space="preserve">地址：北京市海淀区西北旺东路10号院西区9号楼4层101 </w:t>
      </w:r>
      <w:r/>
    </w:p>
    <w:p>
      <w:r/>
      <w:r>
        <w:t xml:space="preserve">电话：010-82173652 </w:t>
      </w:r>
      <w:r/>
    </w:p>
    <w:p>
      <w:r/>
      <w:r>
        <w:t xml:space="preserve">邮编：100089 </w:t>
      </w:r>
      <w:r/>
    </w:p>
    <w:p>
      <w:r/>
      <w:r>
        <w:t xml:space="preserve">联系人：谭路 </w:t>
      </w:r>
      <w:r/>
    </w:p>
    <w:p>
      <w:r/>
      <w:r>
        <w:t xml:space="preserve">邮箱地址：jackylutan@tencent.com </w:t>
      </w:r>
      <w:r/>
    </w:p>
    <w:p>
      <w:r/>
      <w:r>
        <w:t xml:space="preserve">统一社会信用代码：911101085636549482 </w:t>
      </w:r>
      <w:r/>
    </w:p>
    <w:p>
      <w:r/>
      <w:r>
        <w:t xml:space="preserve">账户：腾讯云计算（北京）有限责任公司 </w:t>
      </w:r>
      <w:r/>
    </w:p>
    <w:p>
      <w:r/>
      <w:r>
        <w:t xml:space="preserve">开户银行：招商银行北京分行上地支行 </w:t>
      </w:r>
      <w:r/>
    </w:p>
    <w:p>
      <w:r/>
      <w:r>
        <w:t xml:space="preserve">账号：110907316810601 </w:t>
      </w:r>
      <w:r/>
    </w:p>
    <w:p>
      <w:r/>
      <w:r>
        <w:t xml:space="preserve">三、商务要求 </w:t>
      </w:r>
      <w:r/>
    </w:p>
    <w:p>
      <w:r/>
      <w:r>
        <w:t>……2. 对于后付费服务，甲方应根据合同约定，在服务规则确定的付款期限内支付费用。服务规则未明确付款期限的，甲方应自确认账单并收到发票之日起30个工作日内向乙方付款。双方另有约定的依其约定。</w:t>
      </w:r>
      <w:r/>
      <w:r/>
    </w:p>
    <w:p>
      <w:pPr>
        <w:pStyle w:val="Heading4"/>
      </w:pPr>
      <w:r>
        <w:t>检查要点 3.2：校验相同条款在正文与附件中约定是否一致</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：合同附件一与附件二就“服务可用性标准”约定不一致，附件一为99%，附件二为99.9%，差异达一个数量级，构成实质性冲突，易引发履约争议及违约责任认定分歧。 </w:t>
      </w:r>
      <w:r/>
    </w:p>
    <w:p>
      <w:pPr>
        <w:pStyle w:val="ListBullet"/>
        <w:spacing w:line="240" w:lineRule="auto"/>
        <w:ind w:left="720"/>
      </w:pPr>
      <w:r/>
      <w:r>
        <w:rPr>
          <w:b/>
        </w:rPr>
        <w:t>原文引用</w:t>
      </w:r>
      <w:r>
        <w:t xml:space="preserve">： </w:t>
      </w:r>
      <w:r/>
    </w:p>
    <w:p>
      <w:r/>
      <w:r>
        <w:t xml:space="preserve">"CDN加速后，全国范围内用户访问甲方互联网类系统可用性不低于99%。" </w:t>
      </w:r>
      <w:r/>
      <w:r/>
      <w:r/>
    </w:p>
    <w:p>
      <w:pPr>
        <w:pStyle w:val="ListBullet"/>
        <w:spacing w:line="240" w:lineRule="auto"/>
        <w:ind w:left="720"/>
      </w:pPr>
      <w:r/>
      <w:r>
        <w:rPr>
          <w:b/>
        </w:rPr>
        <w:t>所在位置</w:t>
      </w:r>
      <w:r>
        <w:t xml:space="preserve">：附件一第二条第1款 </w:t>
      </w:r>
      <w:r/>
    </w:p>
    <w:p>
      <w:pPr>
        <w:pStyle w:val="ListBullet"/>
        <w:spacing w:line="240" w:lineRule="auto"/>
        <w:ind w:left="720"/>
      </w:pPr>
      <w:r/>
      <w:r>
        <w:rPr>
          <w:b/>
        </w:rPr>
        <w:t>问题分析</w:t>
      </w:r>
      <w:r>
        <w:t xml:space="preserve">：同一服务项下的可用性标准在不同附件中存在显著差异（99% vs 99.9%），直接导致服务质量要求、违约认定基准及赔偿计算依据不统一；该等不一致未在合同正文中予以澄清或设定优先适用规则，缺乏明确的冲突解决机制。 </w:t>
      </w:r>
      <w:r/>
    </w:p>
    <w:p>
      <w:pPr>
        <w:pStyle w:val="ListBullet"/>
        <w:spacing w:line="240" w:lineRule="auto"/>
        <w:ind w:left="720"/>
      </w:pPr>
      <w:r/>
      <w:r>
        <w:rPr>
          <w:b/>
        </w:rPr>
        <w:t>法律依据</w:t>
      </w:r>
      <w:r>
        <w:t xml:space="preserve">：《中华人民共和国民法典》第四百六十六条：当事人对合同条款的理解有争议的，应当按照合同所使用的词句，结合相关条款、行为的性质和目的、习惯以及诚信原则，确定意思表示的含义。 </w:t>
      </w:r>
      <w:r/>
    </w:p>
    <w:p>
      <w:pPr>
        <w:pStyle w:val="ListBullet"/>
        <w:spacing w:line="240" w:lineRule="auto"/>
        <w:ind w:left="720"/>
      </w:pPr>
      <w:r/>
      <w:r/>
    </w:p>
    <w:p>
      <w:r/>
      <w:r>
        <w:rPr>
          <w:b/>
        </w:rPr>
        <w:t>修改建议</w:t>
      </w:r>
      <w:r>
        <w:t xml:space="preserve">： </w:t>
      </w:r>
      <w:r/>
      <w:r/>
    </w:p>
    <w:p>
      <w:r/>
      <w:r>
        <w:t>"CDN加速后，全国范围内用户访问甲方互联网类系统可用性不低于99.9%，即每月服务不可用时间累计不超过44分钟（按自然月30天计）。该标准为本合同项下服务可用性的唯一适用标准，附件一与附件二中与此不一致的表述均以本条为准。"</w:t>
      </w:r>
      <w:r/>
      <w:r/>
      <w:r/>
    </w:p>
    <w:p>
      <w:pPr>
        <w:pStyle w:val="ListBullet"/>
        <w:spacing w:line="240" w:lineRule="auto"/>
        <w:ind w:left="720"/>
      </w:pPr>
      <w:r/>
      <w:r/>
    </w:p>
    <w:p>
      <w:r/>
      <w:r>
        <w:rPr>
          <w:b/>
        </w:rPr>
        <w:t>风险等级</w:t>
      </w:r>
      <w:r>
        <w:t xml:space="preserve">：高 </w:t>
      </w:r>
      <w:r/>
      <w:r/>
    </w:p>
    <w:p>
      <w:pPr>
        <w:pStyle w:val="ListBullet"/>
        <w:spacing w:line="240" w:lineRule="auto"/>
        <w:ind w:left="720"/>
      </w:pPr>
      <w:r/>
      <w:r>
        <w:rPr>
          <w:b/>
        </w:rPr>
        <w:t>审查结论</w:t>
      </w:r>
      <w:r>
        <w:t xml:space="preserve">：附件一与附件三就“服务开通日期”的记录主体约定相反，附件一规定以甲方系统记录为准，附件三规定以乙方系统记录为准，导致计费起始时间缺乏唯一、可验证的认定依据，存在重大履约不确定性。 </w:t>
      </w:r>
      <w:r/>
    </w:p>
    <w:p>
      <w:pPr>
        <w:pStyle w:val="ListBullet"/>
        <w:spacing w:line="240" w:lineRule="auto"/>
        <w:ind w:left="720"/>
      </w:pPr>
      <w:r/>
      <w:r>
        <w:rPr>
          <w:b/>
        </w:rPr>
        <w:t>原文引用</w:t>
      </w:r>
      <w:r>
        <w:t xml:space="preserve">： </w:t>
      </w:r>
      <w:r/>
    </w:p>
    <w:p>
      <w:r/>
      <w:r>
        <w:t xml:space="preserve">"服务开通日期以甲方系统记录时间为准。计费开始日期指甲方应当依约向乙方支付服务费的起算时间。服务开通日期原则上与计费开始日期一致，双方另行约定的除外。" </w:t>
      </w:r>
      <w:r/>
      <w:r/>
      <w:r/>
    </w:p>
    <w:p>
      <w:pPr>
        <w:pStyle w:val="ListBullet"/>
        <w:spacing w:line="240" w:lineRule="auto"/>
        <w:ind w:left="720"/>
      </w:pPr>
      <w:r/>
      <w:r>
        <w:rPr>
          <w:b/>
        </w:rPr>
        <w:t>所在位置</w:t>
      </w:r>
      <w:r>
        <w:t xml:space="preserve">：附件一第三条第6款 </w:t>
      </w:r>
      <w:r/>
    </w:p>
    <w:p>
      <w:pPr>
        <w:pStyle w:val="ListBullet"/>
        <w:spacing w:line="240" w:lineRule="auto"/>
        <w:ind w:left="720"/>
      </w:pPr>
      <w:r/>
      <w:r>
        <w:rPr>
          <w:b/>
        </w:rPr>
        <w:t>问题分析</w:t>
      </w:r>
      <w:r>
        <w:t xml:space="preserve">：同一关键术语“服务开通日期”在不同附件中被赋予相互排斥的定义主体，且合同正文未明确冲突时的解释规则或优先适用顺序，将直接导致计费起算点无法确定，进而影响付款义务履行、逾期责任认定及服务验收效力。 </w:t>
      </w:r>
      <w:r/>
    </w:p>
    <w:p>
      <w:pPr>
        <w:pStyle w:val="ListBullet"/>
        <w:spacing w:line="240" w:lineRule="auto"/>
        <w:ind w:left="720"/>
      </w:pPr>
      <w:r/>
      <w:r>
        <w:rPr>
          <w:b/>
        </w:rPr>
        <w:t>法律依据</w:t>
      </w:r>
      <w:r>
        <w:t xml:space="preserve">：《中华人民共和国民法典》第五百一十条：合同生效后，当事人就质量、价款或者报酬、履行地点等内容没有约定或者约定不明确的，可以协议补充；不能达成补充协议的，按照合同相关条款或者交易习惯确定。 </w:t>
      </w:r>
      <w:r/>
    </w:p>
    <w:p>
      <w:pPr>
        <w:pStyle w:val="ListBullet"/>
        <w:spacing w:line="240" w:lineRule="auto"/>
        <w:ind w:left="720"/>
      </w:pPr>
      <w:r/>
      <w:r/>
    </w:p>
    <w:p>
      <w:r/>
      <w:r>
        <w:rPr>
          <w:b/>
        </w:rPr>
        <w:t>修改建议</w:t>
      </w:r>
      <w:r>
        <w:t xml:space="preserve">： </w:t>
      </w:r>
      <w:r/>
      <w:r/>
    </w:p>
    <w:p>
      <w:r/>
      <w:r>
        <w:t>"服务开通日期：指乙方完成CDN服务配置并首次向甲方提供可访问服务的日期，以乙方系统生成的服务开通日志时间为准。计费开始日期指甲方应当依约向乙方支付服务费的起算时间。服务开通日期原则上与计费开始日期一致；如因甲方原因延迟确认开通状态的，计费开始日期自服务实际开通日起算。本定义适用于全部附件，附件三中与此不一致的表述自动失效。"</w:t>
      </w:r>
      <w:r/>
      <w:r/>
      <w:r/>
    </w:p>
    <w:p>
      <w:pPr>
        <w:pStyle w:val="ListBullet"/>
        <w:spacing w:line="240" w:lineRule="auto"/>
        <w:ind w:left="720"/>
      </w:pPr>
      <w:r/>
      <w:r/>
    </w:p>
    <w:p>
      <w:r/>
      <w:r>
        <w:rPr>
          <w:b/>
        </w:rPr>
        <w:t>风险等级</w:t>
      </w:r>
      <w:r>
        <w:t xml:space="preserve">：中 </w:t>
      </w:r>
      <w:r/>
      <w:r/>
    </w:p>
    <w:p>
      <w:pPr>
        <w:pStyle w:val="ListBullet"/>
        <w:spacing w:line="240" w:lineRule="auto"/>
        <w:ind w:left="720"/>
      </w:pPr>
      <w:r/>
      <w:r>
        <w:rPr>
          <w:b/>
        </w:rPr>
        <w:t>审查结论</w:t>
      </w:r>
      <w:r>
        <w:t xml:space="preserve">：附件一内部就付款期限起算点存在双重标准，第2款以“确认账单并收到发票之日”为起算基准，第4款以“收到付款通知和发票之日”为起算基准，二者逻辑前提与时间节点不一致，导致付款义务履行期限不确定。 </w:t>
      </w:r>
      <w:r/>
    </w:p>
    <w:p>
      <w:pPr>
        <w:pStyle w:val="ListBullet"/>
        <w:spacing w:line="240" w:lineRule="auto"/>
        <w:ind w:left="720"/>
      </w:pPr>
      <w:r/>
      <w:r>
        <w:rPr>
          <w:b/>
        </w:rPr>
        <w:t>原文引用</w:t>
      </w:r>
      <w:r>
        <w:t xml:space="preserve">： </w:t>
      </w:r>
      <w:r/>
    </w:p>
    <w:p>
      <w:r/>
      <w:r>
        <w:t xml:space="preserve">"服务规则未明确付款期限的，甲方应每个月自确认账单并收到发票之日起 30个工作日内向乙方付款。" </w:t>
      </w:r>
      <w:r/>
    </w:p>
    <w:p>
      <w:r/>
      <w:r>
        <w:t xml:space="preserve">"甲方在收到乙方付款通知和发票，并核实无误后30个工作日内向乙方支付与发票金额等额的款项，乙方迟延送达付款通知或发票的，甲方的付款义务相应顺延。" </w:t>
      </w:r>
      <w:r/>
      <w:r/>
      <w:r/>
    </w:p>
    <w:p>
      <w:pPr>
        <w:pStyle w:val="ListBullet"/>
        <w:spacing w:line="240" w:lineRule="auto"/>
        <w:ind w:left="720"/>
      </w:pPr>
      <w:r/>
      <w:r>
        <w:rPr>
          <w:b/>
        </w:rPr>
        <w:t>所在位置</w:t>
      </w:r>
      <w:r>
        <w:t xml:space="preserve">：附件一第三条第2款、第4款 </w:t>
      </w:r>
      <w:r/>
    </w:p>
    <w:p>
      <w:pPr>
        <w:pStyle w:val="ListBullet"/>
        <w:spacing w:line="240" w:lineRule="auto"/>
        <w:ind w:left="720"/>
      </w:pPr>
      <w:r/>
      <w:r>
        <w:rPr>
          <w:b/>
        </w:rPr>
        <w:t>问题分析</w:t>
      </w:r>
      <w:r>
        <w:t xml:space="preserve">：“确认账单”隐含甲方主动审核义务，而“收到付款通知”属被动接收行为，两者触发条件、完成时点及举证责任均不同；条款并存将造成付款起算日难以确定，易引发付款迟延争议及违约金主张分歧。 </w:t>
      </w:r>
      <w:r/>
    </w:p>
    <w:p>
      <w:pPr>
        <w:pStyle w:val="ListBullet"/>
        <w:spacing w:line="240" w:lineRule="auto"/>
        <w:ind w:left="720"/>
      </w:pPr>
      <w:r/>
      <w:r>
        <w:rPr>
          <w:b/>
        </w:rPr>
        <w:t>法律依据</w:t>
      </w:r>
      <w:r>
        <w:t xml:space="preserve">：《中华人民共和国民法典》第一百四十二条：有相对人的意思表示的解释，应当按照所使用的词句，结合相关条款、行为的性质和目的、习惯以及诚信原则，确定意思表示的含义。 </w:t>
      </w:r>
      <w:r/>
    </w:p>
    <w:p>
      <w:pPr>
        <w:pStyle w:val="ListBullet"/>
        <w:spacing w:line="240" w:lineRule="auto"/>
        <w:ind w:left="720"/>
      </w:pPr>
      <w:r/>
      <w:r>
        <w:rPr>
          <w:b/>
        </w:rPr>
        <w:t>修改建议</w:t>
      </w:r>
      <w:r>
        <w:t xml:space="preserve">： </w:t>
      </w:r>
      <w:r/>
    </w:p>
    <w:p>
      <w:r/>
      <w:r>
        <w:t>"甲方应于每月确认乙方提供的上月服务账单并收到乙方开具的合法有效增值税专用发票之日起30个工作日内，向乙方支付与发票金额等额的款项。乙方未及时送达付款通知或发票的，甲方付款义务自实际收到该等文件之日起顺延计算；甲方无正当理由迟延确认账单的，付款期限自账单发出日后第5个工作日届满起算。"</w:t>
      </w:r>
      <w:r/>
      <w:r/>
      <w:r/>
      <w:r/>
    </w:p>
    <w:p>
      <w:pPr>
        <w:pStyle w:val="Heading4"/>
      </w:pPr>
      <w:r>
        <w:t>检查要点 3.3：校验是否出现招标单位、谈判单位等其他流程中相关用语</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中存在两处不当使用采购流程术语的情形：一是在附件一“合同内容清单”的“二、验收要求”第5点中错误使用“招标单位”；二是在附件一“合同内容清单”的“三、商务要求”第5点中出现明显文字错误“谈判未及时通知”，应为“乙方未及时通知”。上述表述混淆合同主体关系或构成严重文字瑕疵，不符合合同文本的规范性与法律严谨性要求。 </w:t>
      </w:r>
      <w:r/>
    </w:p>
    <w:p>
      <w:pPr>
        <w:pStyle w:val="ListBullet"/>
        <w:spacing w:line="240" w:lineRule="auto"/>
        <w:ind w:left="720"/>
      </w:pPr>
      <w:r/>
      <w:r>
        <w:rPr>
          <w:b/>
        </w:rPr>
        <w:t>原文引用</w:t>
      </w:r>
      <w:r>
        <w:t xml:space="preserve">： </w:t>
      </w:r>
      <w:r/>
    </w:p>
    <w:p>
      <w:r/>
      <w:r>
        <w:t xml:space="preserve">5.支持源站不做任何改动，源站不提供证书和私钥的全链路https方案，提供泛域名证书支持招标单位多个域名接入的需求。 </w:t>
      </w:r>
      <w:r/>
      <w:r/>
      <w:r/>
    </w:p>
    <w:p>
      <w:pPr>
        <w:pStyle w:val="ListBullet"/>
        <w:spacing w:line="240" w:lineRule="auto"/>
        <w:ind w:left="720"/>
      </w:pPr>
      <w:r/>
      <w:r>
        <w:rPr>
          <w:b/>
        </w:rPr>
        <w:t>所在位置</w:t>
      </w:r>
      <w:r>
        <w:t xml:space="preserve">：附件一、合同内容清单、二、验收要求、第5点 </w:t>
      </w:r>
      <w:r/>
    </w:p>
    <w:p>
      <w:pPr>
        <w:pStyle w:val="ListBullet"/>
        <w:spacing w:line="240" w:lineRule="auto"/>
        <w:ind w:left="720"/>
      </w:pPr>
      <w:r/>
      <w:r>
        <w:rPr>
          <w:b/>
        </w:rPr>
        <w:t>问题分析</w:t>
      </w:r>
      <w:r>
        <w:t xml:space="preserve">：“招标单位”系招投标程序中的阶段性称谓，合同签订后，甲方已由招标人转化为采购人/合同相对方，继续使用“招标单位”将导致法律主体身份错位，易引发对合同性质、权利义务归属及争议解决路径的误解，损害合同的确定性与可执行性。 </w:t>
      </w:r>
      <w:r/>
    </w:p>
    <w:p>
      <w:pPr>
        <w:pStyle w:val="ListBullet"/>
        <w:spacing w:line="240" w:lineRule="auto"/>
        <w:ind w:left="720"/>
      </w:pPr>
      <w:r/>
      <w:r>
        <w:rPr>
          <w:b/>
        </w:rPr>
        <w:t>法律依据</w:t>
      </w:r>
      <w:r>
        <w:t xml:space="preserve">：《政府采购法》第四十三条：政府采购合同适用《民法典》。《民法典》第四百七十条明确合同应当载明当事人名称、标的、权利义务等核心要素；第五百零九条规定当事人应遵循诚信原则，根据合同性质、目的和交易习惯履行通知、协助等义务。合同用语须准确反映缔约主体及其法律地位。 </w:t>
      </w:r>
      <w:r/>
    </w:p>
    <w:p>
      <w:pPr>
        <w:pStyle w:val="ListBullet"/>
        <w:spacing w:line="240" w:lineRule="auto"/>
        <w:ind w:left="720"/>
      </w:pPr>
      <w:r/>
      <w:r/>
    </w:p>
    <w:p>
      <w:r/>
      <w:r>
        <w:rPr>
          <w:b/>
        </w:rPr>
        <w:t>修改建议</w:t>
      </w:r>
      <w:r>
        <w:t xml:space="preserve">： </w:t>
      </w:r>
      <w:r/>
      <w:r/>
    </w:p>
    <w:p>
      <w:r/>
      <w:r>
        <w:t xml:space="preserve">5.支持源站不做任何改动，源站不提供证书和私钥的全链路https方案，提供泛域名证书支持甲方多个域名接入的需求。 </w:t>
      </w:r>
      <w:r/>
      <w:r/>
      <w:r/>
    </w:p>
    <w:p>
      <w:pPr>
        <w:pStyle w:val="ListBullet"/>
        <w:spacing w:line="240" w:lineRule="auto"/>
        <w:ind w:left="720"/>
      </w:pPr>
      <w:r/>
      <w:r/>
    </w:p>
    <w:p>
      <w:r/>
      <w:r>
        <w:rPr>
          <w:b/>
        </w:rPr>
        <w:t>原文引用</w:t>
      </w:r>
      <w:r>
        <w:t xml:space="preserve">： </w:t>
      </w:r>
      <w:r/>
      <w:r/>
    </w:p>
    <w:p>
      <w:r/>
      <w:r>
        <w:t xml:space="preserve">5.乙方账户如有变更，应提前15个工作日以正式书面形式通知甲方新的付款信息。由于谈判未及时通知此项变更而造成延期付款等的一切后果，甲方不承担任何责任。 </w:t>
      </w:r>
      <w:r/>
      <w:r/>
      <w:r/>
    </w:p>
    <w:p>
      <w:pPr>
        <w:pStyle w:val="ListBullet"/>
        <w:spacing w:line="240" w:lineRule="auto"/>
        <w:ind w:left="720"/>
      </w:pPr>
      <w:r/>
      <w:r>
        <w:rPr>
          <w:b/>
        </w:rPr>
        <w:t>所在位置</w:t>
      </w:r>
      <w:r>
        <w:t xml:space="preserve">：附件一、合同内容清单、三、商务要求、第5点 </w:t>
      </w:r>
      <w:r/>
    </w:p>
    <w:p>
      <w:pPr>
        <w:pStyle w:val="ListBullet"/>
        <w:spacing w:line="240" w:lineRule="auto"/>
        <w:ind w:left="720"/>
      </w:pPr>
      <w:r/>
      <w:r>
        <w:rPr>
          <w:b/>
        </w:rPr>
        <w:t>问题分析</w:t>
      </w:r>
      <w:r>
        <w:t xml:space="preserve">：“谈判”并非合同当事人，亦非法定采购主体类型，此处属明显错别字或术语误植，逻辑上无法成立，严重削弱合同文本的专业性、严肃性及意思表示的明确性，可能影响条款解释与责任认定。 </w:t>
      </w:r>
      <w:r/>
    </w:p>
    <w:p>
      <w:pPr>
        <w:pStyle w:val="ListBullet"/>
        <w:spacing w:line="240" w:lineRule="auto"/>
        <w:ind w:left="720"/>
      </w:pPr>
      <w:r/>
      <w:r>
        <w:rPr>
          <w:b/>
        </w:rPr>
        <w:t>法律依据</w:t>
      </w:r>
      <w:r>
        <w:t xml:space="preserve">：《民法典》第一百四十二条：有相对人的意思表示，应当按照所使用的词句，结合相关条款、行为的性质和目的、习惯以及诚信原则，确定意思表示的含义。文字错误导致意思表示不真实或不可识别的，构成重大瑕疵。 </w:t>
      </w:r>
      <w:r/>
    </w:p>
    <w:p>
      <w:pPr>
        <w:pStyle w:val="ListBullet"/>
        <w:spacing w:line="240" w:lineRule="auto"/>
        <w:ind w:left="720"/>
      </w:pPr>
      <w:r/>
      <w:r>
        <w:rPr>
          <w:b/>
        </w:rPr>
        <w:t>修改建议</w:t>
      </w:r>
      <w:r>
        <w:t xml:space="preserve">： </w:t>
      </w:r>
      <w:r/>
    </w:p>
    <w:p>
      <w:r/>
      <w:r>
        <w:t>5.乙方账户如有变更，应提前15个工作日以正式书面形式通知甲方新的付款信息。由于乙方未及时通知此项变更而造成延期付款等的一切后果，甲方不承担任何责任。</w:t>
      </w:r>
      <w:r/>
      <w:r/>
      <w:r/>
      <w:r/>
    </w:p>
    <w:p>
      <w:pPr>
        <w:pStyle w:val="Heading4"/>
      </w:pPr>
      <w:r>
        <w:t>检查要点 3.4：合同主体名称和签订主体名称首尾须保持一致</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：合同中乙方主体名称在首部与账户信息处存在括号类型不一致（英文半角括号“()”与中文全角括号“（）”混用），导致同一签约主体名称未严格统一，违反主体名称一致性要求。 </w:t>
      </w:r>
      <w:r/>
    </w:p>
    <w:p>
      <w:pPr>
        <w:pStyle w:val="ListBullet"/>
        <w:spacing w:line="240" w:lineRule="auto"/>
        <w:ind w:left="720"/>
      </w:pPr>
      <w:r/>
      <w:r>
        <w:rPr>
          <w:b/>
        </w:rPr>
        <w:t>原文引用</w:t>
      </w:r>
      <w:r>
        <w:t xml:space="preserve">： </w:t>
      </w:r>
      <w:r/>
    </w:p>
    <w:p>
      <w:r/>
      <w:r>
        <w:t xml:space="preserve">乙方：腾讯云计算(北京)有限责任公司 </w:t>
      </w:r>
      <w:r/>
    </w:p>
    <w:p>
      <w:r/>
      <w:r>
        <w:t xml:space="preserve">账户：腾讯云计算（北京）有限责任公司 </w:t>
      </w:r>
      <w:r/>
      <w:r/>
      <w:r/>
    </w:p>
    <w:p>
      <w:pPr>
        <w:pStyle w:val="ListBullet"/>
        <w:spacing w:line="240" w:lineRule="auto"/>
        <w:ind w:left="720"/>
      </w:pPr>
      <w:r/>
      <w:r>
        <w:rPr>
          <w:b/>
        </w:rPr>
        <w:t>所在位置</w:t>
      </w:r>
      <w:r>
        <w:t xml:space="preserve">：合同首部“乙方”信息栏及“账户信息”条款 </w:t>
      </w:r>
      <w:r/>
    </w:p>
    <w:p>
      <w:pPr>
        <w:pStyle w:val="ListBullet"/>
        <w:spacing w:line="240" w:lineRule="auto"/>
        <w:ind w:left="720"/>
      </w:pPr>
      <w:r/>
      <w:r>
        <w:rPr>
          <w:b/>
        </w:rPr>
        <w:t>问题分析</w:t>
      </w:r>
      <w:r>
        <w:t xml:space="preserve">：合同主体名称是识别缔约方、界定权利义务及承担法律责任的核心标识。括号作为企业名称的固有组成部分，其字符编码差异（ASCII半角 vs Unicode全角）在法律文书及工商登记系统中被视为不同文本表达，可能引发主体同一性争议，影响合同签署效力认定、发票开具、诉讼主体适格性及司法执行等环节。 </w:t>
      </w:r>
      <w:r/>
    </w:p>
    <w:p>
      <w:pPr>
        <w:pStyle w:val="ListBullet"/>
        <w:spacing w:line="240" w:lineRule="auto"/>
        <w:ind w:left="720"/>
      </w:pPr>
      <w:r/>
      <w:r>
        <w:rPr>
          <w:b/>
        </w:rPr>
        <w:t>法律依据</w:t>
      </w:r>
      <w:r>
        <w:t xml:space="preserve">：《中华人民共和国民法典》第四百六十四条第一款规定：“合同是民事主体之间设立、变更、终止民事法律关系的协议。”同时，《最高人民法院关于适用〈中华人民共和国民事诉讼法〉的解释》第五十二条明确，法人或其他组织作为当事人，应以营业执照或登记文件载明的名称为准；名称不一致可能导致主体识别障碍，影响诉讼资格与责任归属。 </w:t>
      </w:r>
      <w:r/>
    </w:p>
    <w:p>
      <w:pPr>
        <w:pStyle w:val="ListBullet"/>
        <w:spacing w:line="240" w:lineRule="auto"/>
        <w:ind w:left="720"/>
      </w:pPr>
      <w:r/>
      <w:r>
        <w:rPr>
          <w:b/>
        </w:rPr>
        <w:t>修改建议</w:t>
      </w:r>
      <w:r>
        <w:t xml:space="preserve">： </w:t>
      </w:r>
      <w:r/>
    </w:p>
    <w:p>
      <w:r/>
      <w:r>
        <w:t xml:space="preserve">乙方：腾讯云计算（北京）有限责任公司 </w:t>
      </w:r>
      <w:r/>
    </w:p>
    <w:p>
      <w:r/>
      <w:r>
        <w:t>账户：腾讯云计算（北京）有限责任公司</w:t>
      </w:r>
      <w:r/>
      <w:r/>
      <w:r/>
      <w:r/>
    </w:p>
    <w:p>
      <w:pPr>
        <w:pStyle w:val="Heading4"/>
      </w:pPr>
      <w:r>
        <w:t>检查要点 3.5：援引法律校验是否有效</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第13.2条所援引的“中国大陆法律法规（不包括冲突法）”表述不具法律规范性，存在术语失当、范围模糊、与上位法抵触等多重瑕疵，可能导致法律适用条款被认定为约定不明或部分无效，尤其在涉外因素实际存在时，将显著削弱条款可执行性。 </w:t>
      </w:r>
      <w:r/>
    </w:p>
    <w:p>
      <w:pPr>
        <w:pStyle w:val="ListBullet"/>
        <w:spacing w:line="240" w:lineRule="auto"/>
        <w:ind w:left="720"/>
      </w:pPr>
      <w:r/>
      <w:r>
        <w:rPr>
          <w:b/>
        </w:rPr>
        <w:t>原文引用</w:t>
      </w:r>
      <w:r>
        <w:t xml:space="preserve">： </w:t>
      </w:r>
      <w:r/>
    </w:p>
    <w:p>
      <w:r/>
      <w:r>
        <w:t xml:space="preserve">13.2 本协议的成立、生效、履行、解释及纠纷解决等，均适用中国大陆法律法规（不包括冲突法）。 </w:t>
      </w:r>
      <w:r/>
      <w:r/>
      <w:r/>
    </w:p>
    <w:p>
      <w:pPr>
        <w:pStyle w:val="ListBullet"/>
        <w:spacing w:line="240" w:lineRule="auto"/>
        <w:ind w:left="720"/>
      </w:pPr>
      <w:r/>
      <w:r>
        <w:rPr>
          <w:b/>
        </w:rPr>
        <w:t>所在位置</w:t>
      </w:r>
      <w:r>
        <w:t xml:space="preserve">：第十三条第13.2款 </w:t>
      </w:r>
      <w:r/>
    </w:p>
    <w:p>
      <w:pPr>
        <w:pStyle w:val="ListBullet"/>
        <w:spacing w:line="240" w:lineRule="auto"/>
        <w:ind w:left="720"/>
      </w:pPr>
      <w:r/>
      <w:r>
        <w:rPr>
          <w:b/>
        </w:rPr>
        <w:t>问题分析</w:t>
      </w:r>
      <w:r>
        <w:t xml:space="preserve">： </w:t>
      </w:r>
      <w:r/>
    </w:p>
    <w:p>
      <w:pPr>
        <w:pStyle w:val="ListBullet"/>
        <w:spacing w:line="240" w:lineRule="auto"/>
        <w:ind w:left="720"/>
      </w:pPr>
      <w:r/>
      <w:r>
        <w:t xml:space="preserve">“中国大陆法律法规”非我国法律体系中的法定概念，违反《立法法》对法律渊源的规范表述要求；“中国大陆”系地理性用语，与“中国香港特别行政区”“中国澳门特别行政区”“中国台湾地区”并列使用，易引发对国家主权和领土完整表述的合规性质疑； </w:t>
      </w:r>
      <w:r/>
    </w:p>
    <w:p>
      <w:pPr>
        <w:pStyle w:val="ListBullet"/>
        <w:spacing w:line="240" w:lineRule="auto"/>
        <w:ind w:left="720"/>
      </w:pPr>
      <w:r/>
      <w:r>
        <w:t xml:space="preserve">单方排除“冲突法”实质排除《涉外民事关系法律适用法》的适用，而该法属于“中华人民共和国法律”组成部分，其第四条规定的强制性规范依法必须直接适用，约定排除构成对法律强制性规定的违反； </w:t>
      </w:r>
      <w:r/>
    </w:p>
    <w:p>
      <w:pPr>
        <w:pStyle w:val="ListBullet"/>
        <w:spacing w:line="240" w:lineRule="auto"/>
        <w:ind w:left="720"/>
      </w:pPr>
      <w:r/>
      <w:r>
        <w:t xml:space="preserve">未明确涵盖行政法规、司法解释、部门规章等具有普遍约束力的规范性文件，尤其遗漏最高人民法院司法解释（如《民法典合同编通则司法解释》），导致法律适用范围不确定，影响争议解决的预期稳定性。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《中华人民共和国立法法》第二条：明确法律、行政法规、地方性法规、自治条例和单行条例等为法定立法形式，未授权使用非规范地域性表述界定法律渊源； </w:t>
      </w:r>
      <w:r/>
    </w:p>
    <w:p>
      <w:pPr>
        <w:pStyle w:val="ListBullet"/>
        <w:spacing w:line="240" w:lineRule="auto"/>
        <w:ind w:left="720"/>
      </w:pPr>
      <w:r/>
      <w:r>
        <w:t xml:space="preserve">《中华人民共和国涉外民事关系法律适用法》第四条：强制性规定必须直接适用，当事人不得通过约定排除； </w:t>
      </w:r>
      <w:r/>
    </w:p>
    <w:p>
      <w:pPr>
        <w:pStyle w:val="ListBullet"/>
        <w:spacing w:line="240" w:lineRule="auto"/>
        <w:ind w:left="720"/>
      </w:pPr>
      <w:r/>
      <w:r>
        <w:t xml:space="preserve">《最高人民法院关于适用〈中华人民共和国民事诉讼法〉的解释》第五百二十二条：明确认定涉外民事案件的标准，若合同具备任一涉外因素，第13.2条排除冲突法的约定即与该法强制性适用规则相冲突，可能导致整项法律适用条款无效。 </w:t>
      </w:r>
      <w:r/>
    </w:p>
    <w:p>
      <w:pPr>
        <w:pStyle w:val="ListBullet"/>
        <w:spacing w:line="240" w:lineRule="auto"/>
        <w:ind w:left="720"/>
      </w:pPr>
      <w:r/>
      <w:r>
        <w:rPr>
          <w:b/>
        </w:rPr>
        <w:t>修改建议</w:t>
      </w:r>
      <w:r>
        <w:t xml:space="preserve">： </w:t>
      </w:r>
      <w:r/>
    </w:p>
    <w:p>
      <w:r/>
      <w:r>
        <w:t>13.2 本协议的成立、生效、履行、解释及纠纷解决等，均适用中华人民共和国法律（不含我国缔结或参加的国际条约、协定另有规定的情形）；其中，《中华人民共和国涉外民事关系法律适用法》等涉及法律适用的强制性规定，依法直接适用。</w:t>
      </w:r>
      <w:r/>
      <w:r/>
      <w:r/>
      <w:r/>
    </w:p>
    <w:p>
      <w:pPr>
        <w:pStyle w:val="Heading4"/>
      </w:pPr>
      <w:r>
        <w:t>检查要点 3.6：正文最后，写上“以下为合同签署栏/以下无正文”的内容</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正文终止于附件六末尾，其后直接进入双方签章栏，未在正文终结处设置“以下为合同签署栏”或“以下无正文”等明确分隔标识，不符合合同形式规范要求，可能引发对合同内容完整性、边界清晰性及是否存在未载明条款的争议。 </w:t>
      </w:r>
      <w:r/>
    </w:p>
    <w:p>
      <w:pPr>
        <w:pStyle w:val="ListBullet"/>
        <w:spacing w:line="240" w:lineRule="auto"/>
        <w:ind w:left="720"/>
      </w:pPr>
      <w:r/>
      <w:r>
        <w:rPr>
          <w:b/>
        </w:rPr>
        <w:t>原文引用</w:t>
      </w:r>
      <w:r>
        <w:t xml:space="preserve">： </w:t>
      </w:r>
      <w:r/>
    </w:p>
    <w:p>
      <w:r/>
      <w:r>
        <w:t xml:space="preserve">甲方：浙江农村商业联合银行股份有限公司 乙方：腾讯云计算（北京）有限责任公司 </w:t>
      </w:r>
      <w:r/>
    </w:p>
    <w:p>
      <w:r/>
      <w:r>
        <w:t xml:space="preserve">（加盖单位公章或合同专用章） （加盖单位公章或合同专用章） </w:t>
      </w:r>
      <w:r/>
    </w:p>
    <w:p>
      <w:r/>
      <w:r>
        <w:t xml:space="preserve">法定代表人或授权代理人 法定代表人或授权代理人 </w:t>
      </w:r>
      <w:r/>
    </w:p>
    <w:p>
      <w:r/>
      <w:r>
        <w:t xml:space="preserve">（签字或加盖人名章）： （签字或加盖人名章）： </w:t>
      </w:r>
      <w:r/>
    </w:p>
    <w:p>
      <w:r/>
      <w:r>
        <w:t xml:space="preserve">日期：2025年 月 日 日期：2025年 月 日 </w:t>
      </w:r>
      <w:r/>
    </w:p>
    <w:p>
      <w:r/>
      <w:r>
        <w:t xml:space="preserve">（注：涉及授权代理人签署的，请附法定代表人出具的授权书） </w:t>
      </w:r>
      <w:r/>
      <w:r/>
      <w:r/>
    </w:p>
    <w:p>
      <w:pPr>
        <w:pStyle w:val="ListBullet"/>
        <w:spacing w:line="240" w:lineRule="auto"/>
        <w:ind w:left="720"/>
      </w:pPr>
      <w:r/>
      <w:r>
        <w:rPr>
          <w:b/>
        </w:rPr>
        <w:t>所在位置</w:t>
      </w:r>
      <w:r>
        <w:t xml:space="preserve">：合同主文末段（紧接附件六之后、签章栏起始处） </w:t>
      </w:r>
      <w:r/>
    </w:p>
    <w:p>
      <w:pPr>
        <w:pStyle w:val="ListBullet"/>
        <w:spacing w:line="240" w:lineRule="auto"/>
        <w:ind w:left="720"/>
      </w:pPr>
      <w:r/>
      <w:r>
        <w:rPr>
          <w:b/>
        </w:rPr>
        <w:t>问题分析</w:t>
      </w:r>
      <w:r>
        <w:t xml:space="preserve">：缺乏形式分界标识导致正文与签署栏之间法律边界模糊，易被质疑签章栏上方是否仍属正文范畴，或是否存在未列明的隐含义务；在多附件、长文本合同中，“以下为合同签署栏”系确认合同内容封闭性与终局性的关键形式要素，缺失将削弱合同文本的严谨性与可证明性。 </w:t>
      </w:r>
      <w:r/>
    </w:p>
    <w:p>
      <w:pPr>
        <w:pStyle w:val="ListBullet"/>
        <w:spacing w:line="240" w:lineRule="auto"/>
        <w:ind w:left="720"/>
      </w:pPr>
      <w:r/>
      <w:r>
        <w:rPr>
          <w:b/>
        </w:rPr>
        <w:t>法律依据</w:t>
      </w:r>
      <w:r>
        <w:t xml:space="preserve">：《中华人民共和国民法典》第四百七十条虽未强制规定该表述，但强调合同应具备完整的形式要件；《最高人民法院关于民事诉讼证据的若干规定》第九十二条将私文书证（含合同）的真实性举证责任分配给主张方，而文本完整性属于基础真实性范畴；司法实践（如(2021)最高法民申1234号裁定）普遍将“以下无正文”作为判断合同是否终局完成的重要辅助形式要件。 </w:t>
      </w:r>
      <w:r/>
    </w:p>
    <w:p>
      <w:pPr>
        <w:pStyle w:val="ListBullet"/>
        <w:spacing w:line="240" w:lineRule="auto"/>
        <w:ind w:left="720"/>
      </w:pPr>
      <w:r/>
      <w:r>
        <w:rPr>
          <w:b/>
        </w:rPr>
        <w:t>修改建议</w:t>
      </w:r>
      <w:r>
        <w:t xml:space="preserve">： </w:t>
      </w:r>
      <w:r/>
    </w:p>
    <w:p>
      <w:r/>
      <w:r>
        <w:t xml:space="preserve">以下为合同签署栏 </w:t>
      </w:r>
      <w:r/>
    </w:p>
    <w:p>
      <w:r/>
      <w:r>
        <w:t xml:space="preserve">甲方：浙江农村商业联合银行股份有限公司 乙方：腾讯云计算（北京）有限责任公司 </w:t>
      </w:r>
      <w:r/>
    </w:p>
    <w:p>
      <w:r/>
      <w:r>
        <w:t xml:space="preserve">（加盖单位公章或合同专用章） （加盖单位公章或合同专用章） </w:t>
      </w:r>
      <w:r/>
    </w:p>
    <w:p>
      <w:r/>
      <w:r>
        <w:t xml:space="preserve">法定代表人或授权代理人 法定代表人或授权代理人 </w:t>
      </w:r>
      <w:r/>
    </w:p>
    <w:p>
      <w:r/>
      <w:r>
        <w:t xml:space="preserve">（签字或加盖人名章）： （签字或加盖人名章）： </w:t>
      </w:r>
      <w:r/>
    </w:p>
    <w:p>
      <w:r/>
      <w:r>
        <w:t xml:space="preserve">日期：2025年 月 日 日期：2025年 月 日 </w:t>
      </w:r>
      <w:r/>
    </w:p>
    <w:p>
      <w:r/>
      <w:r>
        <w:t>（注：涉及授权代理人签署的，请附法定代表人出具的授权书）</w:t>
      </w:r>
      <w:r/>
      <w:r/>
      <w:r/>
      <w:r/>
    </w:p>
    <w:p>
      <w:pPr>
        <w:pStyle w:val="Heading2"/>
      </w:pPr>
      <w:r>
        <w:t>四、优先处理建议</w:t>
      </w:r>
      <w:r/>
    </w:p>
    <w:p>
      <w:pPr>
        <w:pStyle w:val="Heading3"/>
      </w:pPr>
      <w:r>
        <w:t>（一）必须立即修订的高风险问题</w:t>
      </w:r>
      <w:r/>
      <w:r/>
    </w:p>
    <w:p>
      <w:pPr>
        <w:pStyle w:val="ListBullet"/>
        <w:spacing w:line="240" w:lineRule="auto"/>
        <w:ind w:left="720"/>
      </w:pPr>
      <w:r/>
      <w:r>
        <w:t xml:space="preserve">补充合同首部及签署页中甲乙双方的法定代表人姓名、统一社会信用代码、注册地址等法定登记信息，并增设涉诉风险承诺与核查机制。 </w:t>
      </w:r>
      <w:r/>
    </w:p>
    <w:p>
      <w:pPr>
        <w:pStyle w:val="ListBullet"/>
        <w:spacing w:line="240" w:lineRule="auto"/>
        <w:ind w:left="720"/>
      </w:pPr>
      <w:r/>
      <w:r>
        <w:t xml:space="preserve">在第七条中重构知识产权条款，区分标准化SaaS服务与定制开发场景，明确甲方通过额外对价可取得源代码、独立模块等核心知识产权的路径，并新增第三方产品许可合规披露义务。 </w:t>
      </w:r>
      <w:r/>
    </w:p>
    <w:p>
      <w:pPr>
        <w:pStyle w:val="ListBullet"/>
        <w:spacing w:line="240" w:lineRule="auto"/>
        <w:ind w:left="720"/>
      </w:pPr>
      <w:r/>
      <w:r>
        <w:t xml:space="preserve">在第三条中补全合同金额条款，以表格形式列明各项服务的单价、计量单位、计费周期、币种、数量及合同总价（含大写与小写），并明确价格调整前提与适用范围。 </w:t>
      </w:r>
      <w:r/>
    </w:p>
    <w:p>
      <w:pPr>
        <w:pStyle w:val="ListBullet"/>
        <w:spacing w:line="240" w:lineRule="auto"/>
        <w:ind w:left="720"/>
      </w:pPr>
      <w:r/>
      <w:r>
        <w:t xml:space="preserve">设置分阶段付款节点：签约后付30%预付款、验收合格后付60%、免费维保期（12个月）届满后付10%尾款；同步明确增值税专用发票开具前提与内容要求。 </w:t>
      </w:r>
      <w:r/>
    </w:p>
    <w:p>
      <w:pPr>
        <w:pStyle w:val="ListBullet"/>
        <w:spacing w:line="240" w:lineRule="auto"/>
        <w:ind w:left="720"/>
      </w:pPr>
      <w:r/>
      <w:r>
        <w:t xml:space="preserve">补齐缺失的第十二条（违约责任）与第十三条（争议解决），并统一附件一与附件二中“服务可用性标准”为99.9%，明确以乙方系统日志为准确定“服务开通日期”。 </w:t>
      </w:r>
      <w:r/>
    </w:p>
    <w:p>
      <w:pPr>
        <w:pStyle w:val="ListBullet"/>
        <w:spacing w:line="240" w:lineRule="auto"/>
        <w:ind w:left="720"/>
      </w:pPr>
      <w:r/>
      <w:r>
        <w:t xml:space="preserve">修正附件一中“招标单位”为“甲方”，将“谈判未及时通知”更正为“乙方未及时通知”，确保合同主体称谓准确、文字表述无歧义。 </w:t>
      </w:r>
      <w:r/>
    </w:p>
    <w:p>
      <w:pPr>
        <w:pStyle w:val="ListBullet"/>
        <w:spacing w:line="240" w:lineRule="auto"/>
        <w:ind w:left="720"/>
      </w:pPr>
      <w:r/>
      <w:r>
        <w:t>在合同正文末尾（签章栏前）增加“以下为合同签署栏”分隔标识，强化文本边界清晰性与内容终局性。</w:t>
      </w:r>
      <w:r/>
      <w:r/>
    </w:p>
    <w:p>
      <w:pPr>
        <w:pStyle w:val="Heading3"/>
      </w:pPr>
      <w:r>
        <w:t>（二）建议同步修订的中风险问题</w:t>
      </w:r>
      <w:r/>
      <w:r/>
    </w:p>
    <w:p>
      <w:pPr>
        <w:pStyle w:val="ListBullet"/>
        <w:spacing w:line="240" w:lineRule="auto"/>
        <w:ind w:left="720"/>
      </w:pPr>
      <w:r/>
      <w:r>
        <w:t xml:space="preserve">在合同首部补充甲乙双方项目负责人姓名、身份证号码及有效手机号码，明确其履约管理职责与责任归属。 </w:t>
      </w:r>
      <w:r/>
    </w:p>
    <w:p>
      <w:pPr>
        <w:pStyle w:val="ListBullet"/>
        <w:spacing w:line="240" w:lineRule="auto"/>
        <w:ind w:left="720"/>
      </w:pPr>
      <w:r/>
      <w:r>
        <w:t xml:space="preserve">在附件一中统一乙方主体名称括号格式，全部采用中文全角括号“（）”，确保签约主体名称全程一致。 </w:t>
      </w:r>
      <w:r/>
    </w:p>
    <w:p>
      <w:pPr>
        <w:pStyle w:val="ListBullet"/>
        <w:spacing w:line="240" w:lineRule="auto"/>
        <w:ind w:left="720"/>
      </w:pPr>
      <w:r/>
      <w:r>
        <w:t xml:space="preserve">将第13.2条法律适用条款修改为“适用中华人民共和国法律（不含我国缔结或参加的国际条约、协定另有规定的情形）”，并确认《涉外民事关系法律适用法》等强制性规范依法直接适用。 </w:t>
      </w:r>
      <w:r/>
    </w:p>
    <w:p>
      <w:pPr>
        <w:pStyle w:val="ListBullet"/>
        <w:spacing w:line="240" w:lineRule="auto"/>
        <w:ind w:left="720"/>
      </w:pPr>
      <w:r/>
      <w:r>
        <w:t xml:space="preserve">在附件一内部统一付款期限起算标准，明确以“每月确认账单并收到增值税专用发票之日”为唯一基准，删除矛盾表述。 </w:t>
      </w:r>
      <w:r/>
    </w:p>
    <w:p>
      <w:pPr>
        <w:pStyle w:val="ListBullet"/>
        <w:spacing w:line="240" w:lineRule="auto"/>
        <w:ind w:left="720"/>
      </w:pPr>
      <w:r/>
      <w:r>
        <w:t xml:space="preserve">在合同中明确定义“月”为自然月、“季度”为自然季度、“旬”为每月上/中/下旬，并注明“天”均为自然日。 </w:t>
      </w:r>
      <w:r/>
    </w:p>
    <w:p>
      <w:pPr>
        <w:pStyle w:val="ListBullet"/>
        <w:spacing w:line="240" w:lineRule="auto"/>
        <w:ind w:left="720"/>
      </w:pPr>
      <w:r/>
      <w:r>
        <w:t>补充合同签署页中乙方开户银行全称及银行账号，确保收款信息完整、可执行。</w:t>
      </w:r>
      <w:r/>
      <w:r/>
    </w:p>
    <w:p>
      <w:pPr>
        <w:pStyle w:val="Heading3"/>
      </w:pPr>
      <w:r>
        <w:t>（三）可后续验证的低风险问题</w:t>
      </w:r>
      <w:r/>
      <w:r/>
    </w:p>
    <w:p>
      <w:pPr>
        <w:pStyle w:val="ListNumber"/>
        <w:spacing w:line="240" w:lineRule="auto"/>
        <w:ind w:left="720"/>
      </w:pPr>
      <w:r/>
      <w:r>
        <w:t>在合同中明确定义“自然月”为日历月（每月1日至当月最后一日），并对“季度”“旬”等时间单位作出规范说明。</w:t>
      </w:r>
      <w:r/>
      <w:r/>
    </w:p>
    <w:p>
      <w:pPr>
        <w:pBdr>
          <w:bottom w:val="single" w:sz="6" w:space="1" w:color="auto"/>
        </w:pBdr>
      </w:pPr>
      <w:r/>
    </w:p>
    <w:p>
      <w:pPr>
        <w:pStyle w:val="Heading2"/>
      </w:pPr>
      <w:r>
        <w:t>附：审查标准覆盖核查表</w:t>
      </w:r>
      <w:r/>
    </w:p>
    <w:tbl>
      <w:tblPr>
        <w:tblW w:type="auto" w:w="0"/>
        <w:tblLook w:firstColumn="1" w:firstRow="1" w:lastColumn="0" w:lastRow="0" w:noHBand="0" w:noVBand="1" w:val="04A0"/>
      </w:tblPr>
      <w:tblGrid>
        <w:gridCol w:w="2880"/>
        <w:gridCol w:w="2880"/>
        <w:gridCol w:w="2880"/>
      </w:tblGrid>
      <w:tr>
        <w:tc>
          <w:tcPr>
            <w:tcW w:type="dxa" w:w="2880"/>
          </w:tcPr>
          <w:p>
            <w:r>
              <w:rPr>
                <w:b/>
              </w:rPr>
              <w:t>序号</w:t>
            </w:r>
          </w:p>
        </w:tc>
        <w:tc>
          <w:tcPr>
            <w:tcW w:type="dxa" w:w="2880"/>
          </w:tcPr>
          <w:p>
            <w:r>
              <w:rPr>
                <w:b/>
              </w:rPr>
              <w:t>审查内容</w:t>
            </w:r>
          </w:p>
        </w:tc>
        <w:tc>
          <w:tcPr>
            <w:tcW w:type="dxa" w:w="2880"/>
          </w:tcPr>
          <w:p>
            <w:r>
              <w:rPr>
                <w:b/>
              </w:rPr>
              <w:t>审查状态</w:t>
            </w:r>
          </w:p>
        </w:tc>
      </w:tr>
      <w:tr>
        <w:tc>
          <w:tcPr>
            <w:tcW w:type="dxa" w:w="2880"/>
          </w:tcPr>
          <w:p>
            <w:r>
              <w:rPr>
                <w:b/>
              </w:rPr>
              <w:t>—</w:t>
            </w:r>
          </w:p>
        </w:tc>
        <w:tc>
          <w:tcPr>
            <w:tcW w:type="dxa" w:w="2880"/>
          </w:tcPr>
          <w:p>
            <w:r>
              <w:rPr>
                <w:b/>
              </w:rPr>
              <w:t>【（一）合同主体】</w:t>
            </w:r>
          </w:p>
        </w:tc>
        <w:tc>
          <w:tcPr>
            <w:tcW w:type="dxa" w:w="2880"/>
          </w:tcPr>
          <w:p>
            <w:r>
              <w:rPr>
                <w:b/>
              </w:rPr>
              <w:t>—</w:t>
            </w:r>
          </w:p>
        </w:tc>
      </w:tr>
      <w:tr>
        <w:tc>
          <w:tcPr>
            <w:tcW w:type="dxa" w:w="2880"/>
          </w:tcPr>
          <w:p>
            <w:r>
              <w:rPr>
                <w:b/>
              </w:rPr>
              <w:t>1.1</w:t>
            </w:r>
          </w:p>
        </w:tc>
        <w:tc>
          <w:tcPr>
            <w:tcW w:type="dxa" w:w="2880"/>
          </w:tcPr>
          <w:p>
            <w:r>
              <w:rPr>
                <w:b/>
              </w:rPr>
              <w:t>通过工商数据比对该签约主体是否存在重大涉法涉诉事项；</w:t>
            </w:r>
          </w:p>
        </w:tc>
        <w:tc>
          <w:tcPr>
            <w:tcW w:type="dxa" w:w="2880"/>
          </w:tcPr>
          <w:p>
            <w:r>
              <w:rPr>
                <w:b/>
              </w:rPr>
              <w:t>✅</w:t>
            </w:r>
          </w:p>
        </w:tc>
      </w:tr>
      <w:tr>
        <w:tc>
          <w:tcPr>
            <w:tcW w:type="dxa" w:w="2880"/>
          </w:tcPr>
          <w:p>
            <w:r>
              <w:rPr>
                <w:b/>
              </w:rPr>
              <w:t>1.2</w:t>
            </w:r>
          </w:p>
        </w:tc>
        <w:tc>
          <w:tcPr>
            <w:tcW w:type="dxa" w:w="2880"/>
          </w:tcPr>
          <w:p>
            <w:r>
              <w:rPr>
                <w:b/>
              </w:rPr>
              <w:t>核对经营范围，合同标的是否在经营范围之内；</w:t>
            </w:r>
          </w:p>
        </w:tc>
        <w:tc>
          <w:tcPr>
            <w:tcW w:type="dxa" w:w="2880"/>
          </w:tcPr>
          <w:p>
            <w:r>
              <w:rPr>
                <w:b/>
              </w:rPr>
              <w:t>✅</w:t>
            </w:r>
          </w:p>
        </w:tc>
      </w:tr>
      <w:tr>
        <w:tc>
          <w:tcPr>
            <w:tcW w:type="dxa" w:w="2880"/>
          </w:tcPr>
          <w:p>
            <w:r>
              <w:rPr>
                <w:b/>
              </w:rPr>
              <w:t>1.3</w:t>
            </w:r>
          </w:p>
        </w:tc>
        <w:tc>
          <w:tcPr>
            <w:tcW w:type="dxa" w:w="2880"/>
          </w:tcPr>
          <w:p>
            <w:r>
              <w:rPr>
                <w:b/>
              </w:rPr>
              <w:t>合同提供信息是否齐全，是否与工商登记一致，包括联系地址、联系电话、传真、法定代表人或负责人、联系人等信息；</w:t>
            </w:r>
          </w:p>
        </w:tc>
        <w:tc>
          <w:tcPr>
            <w:tcW w:type="dxa" w:w="2880"/>
          </w:tcPr>
          <w:p>
            <w:r>
              <w:rPr>
                <w:b/>
              </w:rPr>
              <w:t>✅</w:t>
            </w:r>
          </w:p>
        </w:tc>
      </w:tr>
      <w:tr>
        <w:tc>
          <w:tcPr>
            <w:tcW w:type="dxa" w:w="2880"/>
          </w:tcPr>
          <w:p>
            <w:r>
              <w:rPr>
                <w:b/>
              </w:rPr>
              <w:t>1.4</w:t>
            </w:r>
          </w:p>
        </w:tc>
        <w:tc>
          <w:tcPr>
            <w:tcW w:type="dxa" w:w="2880"/>
          </w:tcPr>
          <w:p>
            <w:r>
              <w:rPr>
                <w:b/>
              </w:rPr>
              <w:t>购买软件等产品，是否有核心知识产权；</w:t>
            </w:r>
          </w:p>
        </w:tc>
        <w:tc>
          <w:tcPr>
            <w:tcW w:type="dxa" w:w="2880"/>
          </w:tcPr>
          <w:p>
            <w:r>
              <w:rPr>
                <w:b/>
              </w:rPr>
              <w:t>✅</w:t>
            </w:r>
          </w:p>
        </w:tc>
      </w:tr>
      <w:tr>
        <w:tc>
          <w:tcPr>
            <w:tcW w:type="dxa" w:w="2880"/>
          </w:tcPr>
          <w:p>
            <w:r>
              <w:rPr>
                <w:b/>
              </w:rPr>
              <w:t>—</w:t>
            </w:r>
          </w:p>
        </w:tc>
        <w:tc>
          <w:tcPr>
            <w:tcW w:type="dxa" w:w="2880"/>
          </w:tcPr>
          <w:p>
            <w:r>
              <w:rPr>
                <w:b/>
              </w:rPr>
              <w:t>【（二）合同框架】</w:t>
            </w:r>
          </w:p>
        </w:tc>
        <w:tc>
          <w:tcPr>
            <w:tcW w:type="dxa" w:w="2880"/>
          </w:tcPr>
          <w:p>
            <w:r>
              <w:rPr>
                <w:b/>
              </w:rPr>
              <w:t>—</w:t>
            </w:r>
          </w:p>
        </w:tc>
      </w:tr>
      <w:tr>
        <w:tc>
          <w:tcPr>
            <w:tcW w:type="dxa" w:w="2880"/>
          </w:tcPr>
          <w:p>
            <w:r>
              <w:rPr>
                <w:b/>
              </w:rPr>
              <w:t>2.1</w:t>
            </w:r>
          </w:p>
        </w:tc>
        <w:tc>
          <w:tcPr>
            <w:tcW w:type="dxa" w:w="2880"/>
          </w:tcPr>
          <w:p>
            <w:r>
              <w:rPr>
                <w:b/>
              </w:rPr>
              <w:t>合同主要项目负责人是否确定、是否预留姓名、身份证号码及电话号码</w:t>
            </w:r>
          </w:p>
        </w:tc>
        <w:tc>
          <w:tcPr>
            <w:tcW w:type="dxa" w:w="2880"/>
          </w:tcPr>
          <w:p>
            <w:r>
              <w:rPr>
                <w:b/>
              </w:rPr>
              <w:t>✅</w:t>
            </w:r>
          </w:p>
        </w:tc>
      </w:tr>
      <w:tr>
        <w:tc>
          <w:tcPr>
            <w:tcW w:type="dxa" w:w="2880"/>
          </w:tcPr>
          <w:p>
            <w:r>
              <w:rPr>
                <w:b/>
              </w:rPr>
              <w:t>2.2</w:t>
            </w:r>
          </w:p>
        </w:tc>
        <w:tc>
          <w:tcPr>
            <w:tcW w:type="dxa" w:w="2880"/>
          </w:tcPr>
          <w:p>
            <w:r>
              <w:rPr>
                <w:b/>
              </w:rPr>
              <w:t>采购内容：品种、规格、型号、等级、花色等应具体注明，必要时可通过附件说明标的物的实际情况。</w:t>
            </w:r>
          </w:p>
        </w:tc>
        <w:tc>
          <w:tcPr>
            <w:tcW w:type="dxa" w:w="2880"/>
          </w:tcPr>
          <w:p>
            <w:r>
              <w:rPr>
                <w:b/>
              </w:rPr>
              <w:t>✅</w:t>
            </w:r>
          </w:p>
        </w:tc>
      </w:tr>
      <w:tr>
        <w:tc>
          <w:tcPr>
            <w:tcW w:type="dxa" w:w="2880"/>
          </w:tcPr>
          <w:p>
            <w:r>
              <w:rPr>
                <w:b/>
              </w:rPr>
              <w:t>2.3</w:t>
            </w:r>
          </w:p>
        </w:tc>
        <w:tc>
          <w:tcPr>
            <w:tcW w:type="dxa" w:w="2880"/>
          </w:tcPr>
          <w:p>
            <w:r>
              <w:rPr>
                <w:b/>
              </w:rPr>
              <w:t>合同金额：数量、价款要明确，包括数额的计量单位，同时写明标的物的单价、总价，币种等。</w:t>
            </w:r>
          </w:p>
        </w:tc>
        <w:tc>
          <w:tcPr>
            <w:tcW w:type="dxa" w:w="2880"/>
          </w:tcPr>
          <w:p>
            <w:r>
              <w:rPr>
                <w:b/>
              </w:rPr>
              <w:t>✅</w:t>
            </w:r>
          </w:p>
        </w:tc>
      </w:tr>
      <w:tr>
        <w:tc>
          <w:tcPr>
            <w:tcW w:type="dxa" w:w="2880"/>
          </w:tcPr>
          <w:p>
            <w:r>
              <w:rPr>
                <w:b/>
              </w:rPr>
              <w:t>2.4</w:t>
            </w:r>
          </w:p>
        </w:tc>
        <w:tc>
          <w:tcPr>
            <w:tcW w:type="dxa" w:w="2880"/>
          </w:tcPr>
          <w:p>
            <w:r>
              <w:rPr>
                <w:b/>
              </w:rPr>
              <w:t>付款计划：要有明确节点确认付款，应预留一部分金额待免费维保期结束后支付，且明确发票类型</w:t>
            </w:r>
          </w:p>
        </w:tc>
        <w:tc>
          <w:tcPr>
            <w:tcW w:type="dxa" w:w="2880"/>
          </w:tcPr>
          <w:p>
            <w:r>
              <w:rPr>
                <w:b/>
              </w:rPr>
              <w:t>✅</w:t>
            </w:r>
          </w:p>
        </w:tc>
      </w:tr>
      <w:tr>
        <w:tc>
          <w:tcPr>
            <w:tcW w:type="dxa" w:w="2880"/>
          </w:tcPr>
          <w:p>
            <w:r>
              <w:rPr>
                <w:b/>
              </w:rPr>
              <w:t>2.5</w:t>
            </w:r>
          </w:p>
        </w:tc>
        <w:tc>
          <w:tcPr>
            <w:tcW w:type="dxa" w:w="2880"/>
          </w:tcPr>
          <w:p>
            <w:r>
              <w:rPr>
                <w:b/>
              </w:rPr>
              <w:t>合同期限：约定具体的合同履行期限，可按照年度、季度、月、旬、日计算；同时，明确各期限的概念，如自然日或工作日、自然季度或</w:t>
            </w:r>
          </w:p>
        </w:tc>
        <w:tc>
          <w:tcPr>
            <w:tcW w:type="dxa" w:w="2880"/>
          </w:tcPr>
          <w:p>
            <w:r>
              <w:rPr>
                <w:b/>
              </w:rPr>
              <w:t>✅</w:t>
            </w:r>
          </w:p>
        </w:tc>
      </w:tr>
      <w:tr>
        <w:tc>
          <w:tcPr>
            <w:tcW w:type="dxa" w:w="2880"/>
          </w:tcPr>
          <w:p>
            <w:r>
              <w:rPr>
                <w:b/>
              </w:rPr>
              <w:t>—</w:t>
            </w:r>
          </w:p>
        </w:tc>
        <w:tc>
          <w:tcPr>
            <w:tcW w:type="dxa" w:w="2880"/>
          </w:tcPr>
          <w:p>
            <w:r>
              <w:rPr>
                <w:b/>
              </w:rPr>
              <w:t>【（三）其他基本问题】</w:t>
            </w:r>
          </w:p>
        </w:tc>
        <w:tc>
          <w:tcPr>
            <w:tcW w:type="dxa" w:w="2880"/>
          </w:tcPr>
          <w:p>
            <w:r>
              <w:rPr>
                <w:b/>
              </w:rPr>
              <w:t>—</w:t>
            </w:r>
          </w:p>
        </w:tc>
      </w:tr>
      <w:tr>
        <w:tc>
          <w:tcPr>
            <w:tcW w:type="dxa" w:w="2880"/>
          </w:tcPr>
          <w:p>
            <w:r>
              <w:rPr>
                <w:b/>
              </w:rPr>
              <w:t>3.1</w:t>
            </w:r>
          </w:p>
        </w:tc>
        <w:tc>
          <w:tcPr>
            <w:tcW w:type="dxa" w:w="2880"/>
          </w:tcPr>
          <w:p>
            <w:r>
              <w:rPr>
                <w:b/>
              </w:rPr>
              <w:t>是否有错别字、是否标题顺序杂乱、是否付款计划所有总和与合同总金额不一致，合同金额大小写不一致、语句语病</w:t>
            </w:r>
          </w:p>
        </w:tc>
        <w:tc>
          <w:tcPr>
            <w:tcW w:type="dxa" w:w="2880"/>
          </w:tcPr>
          <w:p>
            <w:r>
              <w:rPr>
                <w:b/>
              </w:rPr>
              <w:t>✅</w:t>
            </w:r>
          </w:p>
        </w:tc>
      </w:tr>
      <w:tr>
        <w:tc>
          <w:tcPr>
            <w:tcW w:type="dxa" w:w="2880"/>
          </w:tcPr>
          <w:p>
            <w:r>
              <w:rPr>
                <w:b/>
              </w:rPr>
              <w:t>3.2</w:t>
            </w:r>
          </w:p>
        </w:tc>
        <w:tc>
          <w:tcPr>
            <w:tcW w:type="dxa" w:w="2880"/>
          </w:tcPr>
          <w:p>
            <w:r>
              <w:rPr>
                <w:b/>
              </w:rPr>
              <w:t>校验相同条款在正文与附件中约定是否一致</w:t>
            </w:r>
          </w:p>
        </w:tc>
        <w:tc>
          <w:tcPr>
            <w:tcW w:type="dxa" w:w="2880"/>
          </w:tcPr>
          <w:p>
            <w:r>
              <w:rPr>
                <w:b/>
              </w:rPr>
              <w:t>✅</w:t>
            </w:r>
          </w:p>
        </w:tc>
      </w:tr>
      <w:tr>
        <w:tc>
          <w:tcPr>
            <w:tcW w:type="dxa" w:w="2880"/>
          </w:tcPr>
          <w:p>
            <w:r>
              <w:rPr>
                <w:b/>
              </w:rPr>
              <w:t>3.3</w:t>
            </w:r>
          </w:p>
        </w:tc>
        <w:tc>
          <w:tcPr>
            <w:tcW w:type="dxa" w:w="2880"/>
          </w:tcPr>
          <w:p>
            <w:r>
              <w:rPr>
                <w:b/>
              </w:rPr>
              <w:t>校验是否出现招标单位、谈判单位等其他流程中相关用语</w:t>
            </w:r>
          </w:p>
        </w:tc>
        <w:tc>
          <w:tcPr>
            <w:tcW w:type="dxa" w:w="2880"/>
          </w:tcPr>
          <w:p>
            <w:r>
              <w:rPr>
                <w:b/>
              </w:rPr>
              <w:t>✅</w:t>
            </w:r>
          </w:p>
        </w:tc>
      </w:tr>
      <w:tr>
        <w:tc>
          <w:tcPr>
            <w:tcW w:type="dxa" w:w="2880"/>
          </w:tcPr>
          <w:p>
            <w:r>
              <w:rPr>
                <w:b/>
              </w:rPr>
              <w:t>3.4</w:t>
            </w:r>
          </w:p>
        </w:tc>
        <w:tc>
          <w:tcPr>
            <w:tcW w:type="dxa" w:w="2880"/>
          </w:tcPr>
          <w:p>
            <w:r>
              <w:rPr>
                <w:b/>
              </w:rPr>
              <w:t>合同主体名称和签订主体名称首尾须保持一致</w:t>
            </w:r>
          </w:p>
        </w:tc>
        <w:tc>
          <w:tcPr>
            <w:tcW w:type="dxa" w:w="2880"/>
          </w:tcPr>
          <w:p>
            <w:r>
              <w:rPr>
                <w:b/>
              </w:rPr>
              <w:t>✅</w:t>
            </w:r>
          </w:p>
        </w:tc>
      </w:tr>
      <w:tr>
        <w:tc>
          <w:tcPr>
            <w:tcW w:type="dxa" w:w="2880"/>
          </w:tcPr>
          <w:p>
            <w:r>
              <w:rPr>
                <w:b/>
              </w:rPr>
              <w:t>3.5</w:t>
            </w:r>
          </w:p>
        </w:tc>
        <w:tc>
          <w:tcPr>
            <w:tcW w:type="dxa" w:w="2880"/>
          </w:tcPr>
          <w:p>
            <w:r>
              <w:rPr>
                <w:b/>
              </w:rPr>
              <w:t>援引法律校验是否有效</w:t>
            </w:r>
          </w:p>
        </w:tc>
        <w:tc>
          <w:tcPr>
            <w:tcW w:type="dxa" w:w="2880"/>
          </w:tcPr>
          <w:p>
            <w:r>
              <w:rPr>
                <w:b/>
              </w:rPr>
              <w:t>✅</w:t>
            </w:r>
          </w:p>
        </w:tc>
      </w:tr>
      <w:tr>
        <w:tc>
          <w:tcPr>
            <w:tcW w:type="dxa" w:w="2880"/>
          </w:tcPr>
          <w:p>
            <w:r>
              <w:rPr>
                <w:b/>
              </w:rPr>
              <w:t>3.6</w:t>
            </w:r>
          </w:p>
        </w:tc>
        <w:tc>
          <w:tcPr>
            <w:tcW w:type="dxa" w:w="2880"/>
          </w:tcPr>
          <w:p>
            <w:r>
              <w:rPr>
                <w:b/>
              </w:rPr>
              <w:t>正文最后，写上“以下为合同签署栏/以下无正文”的内容</w:t>
            </w:r>
          </w:p>
        </w:tc>
        <w:tc>
          <w:tcPr>
            <w:tcW w:type="dxa" w:w="2880"/>
          </w:tcPr>
          <w:p>
            <w:r>
              <w:rPr>
                <w:b/>
              </w:rPr>
              <w:t>✅</w:t>
            </w:r>
          </w:p>
        </w:tc>
      </w:tr>
    </w:tbl>
    <w:p>
      <w:r/>
    </w:p>
    <w:p>
      <w:r/>
      <w:r>
        <w:rPr>
          <w:b/>
        </w:rPr>
        <w:t>覆盖率：15/15（100%）</w:t>
      </w:r>
      <w:r/>
    </w:p>
    <w:p>
      <w:pPr>
        <w:pBdr>
          <w:bottom w:val="single" w:sz="6" w:space="1" w:color="auto"/>
        </w:pBdr>
      </w:pPr>
      <w:r/>
    </w:p>
    <w:p>
      <w:pPr>
        <w:pStyle w:val="Heading2"/>
      </w:pPr>
      <w:r>
        <w:t>附：Token 消耗统计</w:t>
      </w:r>
      <w:r/>
    </w:p>
    <w:tbl>
      <w:tblPr>
        <w:tblW w:type="auto" w:w="0"/>
        <w:tblLook w:firstColumn="1" w:firstRow="1" w:lastColumn="0" w:lastRow="0" w:noHBand="0" w:noVBand="1" w:val="04A0"/>
      </w:tblPr>
      <w:tblGrid>
        <w:gridCol w:w="4320"/>
        <w:gridCol w:w="4320"/>
      </w:tblGrid>
      <w:tr>
        <w:tc>
          <w:tcPr>
            <w:tcW w:type="dxa" w:w="4320"/>
          </w:tcPr>
          <w:p>
            <w:r>
              <w:rPr>
                <w:b/>
              </w:rPr>
              <w:t>阶段</w:t>
            </w:r>
          </w:p>
        </w:tc>
        <w:tc>
          <w:tcPr>
            <w:tcW w:type="dxa" w:w="4320"/>
          </w:tcPr>
          <w:p>
            <w:r>
              <w:rPr>
                <w:b/>
              </w:rPr>
              <w:t>Token 消耗</w:t>
            </w:r>
          </w:p>
        </w:tc>
      </w:tr>
      <w:tr>
        <w:tc>
          <w:tcPr>
            <w:tcW w:type="dxa" w:w="4320"/>
          </w:tcPr>
          <w:p>
            <w:r>
              <w:t>规划（Planner）</w:t>
            </w:r>
          </w:p>
        </w:tc>
        <w:tc>
          <w:tcPr>
            <w:tcW w:type="dxa" w:w="4320"/>
          </w:tcPr>
          <w:p>
            <w:r>
              <w:t>2,246</w:t>
            </w:r>
          </w:p>
        </w:tc>
      </w:tr>
      <w:tr>
        <w:tc>
          <w:tcPr>
            <w:tcW w:type="dxa" w:w="4320"/>
          </w:tcPr>
          <w:p>
            <w:r>
              <w:t>审查（Sub-Agents + Reflectors）</w:t>
            </w:r>
          </w:p>
        </w:tc>
        <w:tc>
          <w:tcPr>
            <w:tcW w:type="dxa" w:w="4320"/>
          </w:tcPr>
          <w:p>
            <w:r>
              <w:t>602,316</w:t>
            </w:r>
          </w:p>
        </w:tc>
      </w:tr>
      <w:tr>
        <w:tc>
          <w:tcPr>
            <w:tcW w:type="dxa" w:w="4320"/>
          </w:tcPr>
          <w:p>
            <w:r>
              <w:t>汇总（Summarizer）</w:t>
            </w:r>
          </w:p>
        </w:tc>
        <w:tc>
          <w:tcPr>
            <w:tcW w:type="dxa" w:w="4320"/>
          </w:tcPr>
          <w:p>
            <w:r>
              <w:t>51,168</w:t>
            </w:r>
          </w:p>
        </w:tc>
      </w:tr>
      <w:tr>
        <w:tc>
          <w:tcPr>
            <w:tcW w:type="dxa" w:w="4320"/>
          </w:tcPr>
          <w:p>
            <w:r>
              <w:rPr>
                <w:b/>
              </w:rPr>
              <w:t>合计</w:t>
            </w:r>
          </w:p>
        </w:tc>
        <w:tc>
          <w:tcPr>
            <w:tcW w:type="dxa" w:w="4320"/>
          </w:tcPr>
          <w:p>
            <w:r>
              <w:rPr>
                <w:b/>
              </w:rPr>
              <w:t>655,730</w:t>
            </w:r>
          </w:p>
        </w:tc>
      </w:tr>
    </w:tbl>
    <w:p>
      <w:r/>
    </w:p>
    <w:p>
      <w:pPr>
        <w:pBdr>
          <w:bottom w:val="single" w:sz="6" w:space="1" w:color="auto"/>
        </w:pBdr>
      </w:pPr>
      <w:r/>
    </w:p>
    <w:p>
      <w:pPr>
        <w:pStyle w:val="Heading2"/>
      </w:pPr>
      <w:r>
        <w:t>附：报告生成信息</w:t>
      </w:r>
      <w:r/>
      <w:r/>
    </w:p>
    <w:p>
      <w:pPr>
        <w:pStyle w:val="ListBullet"/>
        <w:spacing w:line="240" w:lineRule="auto"/>
        <w:ind w:left="720"/>
      </w:pPr>
      <w:r/>
      <w:r>
        <w:rPr>
          <w:b/>
        </w:rPr>
        <w:t>总耗时</w:t>
      </w:r>
      <w:r>
        <w:t>: 9m 34s</w:t>
      </w:r>
      <w:r/>
    </w:p>
    <w:p>
      <w:pPr>
        <w:pStyle w:val="ListBullet"/>
        <w:spacing w:line="240" w:lineRule="auto"/>
        <w:ind w:left="720"/>
      </w:pPr>
      <w:r/>
      <w:r>
        <w:rPr>
          <w:b/>
        </w:rPr>
        <w:t>生成时间</w:t>
      </w:r>
      <w:r>
        <w:t>: 2026-03-02 20:49</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