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合同审查报告</w:t>
      </w:r>
      <w:r/>
    </w:p>
    <w:p>
      <w:pPr>
        <w:pStyle w:val="Heading2"/>
      </w:pPr>
      <w:r>
        <w:t>一、审查概要</w:t>
      </w:r>
      <w:r/>
      <w:r/>
    </w:p>
    <w:p>
      <w:pPr>
        <w:pStyle w:val="ListBullet"/>
        <w:spacing w:line="240" w:lineRule="auto"/>
        <w:ind w:left="720"/>
      </w:pPr>
      <w:r/>
      <w:r>
        <w:t xml:space="preserve">审查标准数量：15项 </w:t>
      </w:r>
      <w:r/>
    </w:p>
    <w:p>
      <w:pPr>
        <w:pStyle w:val="ListBullet"/>
        <w:spacing w:line="240" w:lineRule="auto"/>
        <w:ind w:left="720"/>
      </w:pPr>
      <w:r/>
      <w:r>
        <w:t xml:space="preserve">发现问题总数：4 </w:t>
      </w:r>
      <w:r/>
    </w:p>
    <w:p>
      <w:pPr>
        <w:pStyle w:val="ListBullet"/>
        <w:spacing w:line="240" w:lineRule="auto"/>
        <w:ind w:left="720"/>
      </w:pPr>
      <w:r/>
      <w:r>
        <w:t xml:space="preserve">高风险问题数量：2 </w:t>
      </w:r>
      <w:r/>
    </w:p>
    <w:p>
      <w:pPr>
        <w:pStyle w:val="ListBullet"/>
        <w:spacing w:line="240" w:lineRule="auto"/>
        <w:ind w:left="720"/>
      </w:pPr>
      <w:r/>
      <w:r>
        <w:t xml:space="preserve">中风险问题数量：2 </w:t>
      </w:r>
      <w:r/>
    </w:p>
    <w:p>
      <w:pPr>
        <w:pStyle w:val="ListBullet"/>
        <w:spacing w:line="240" w:lineRule="auto"/>
        <w:ind w:left="720"/>
      </w:pPr>
      <w:r/>
      <w:r>
        <w:t xml:space="preserve">低风险问题数量：0 </w:t>
      </w:r>
      <w:r/>
      <w:r/>
    </w:p>
    <w:p>
      <w:pPr>
        <w:pStyle w:val="Heading2"/>
      </w:pPr>
      <w:r>
        <w:t>二、风险总览表</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审查领域</w:t>
            </w:r>
          </w:p>
        </w:tc>
        <w:tc>
          <w:tcPr>
            <w:tcW w:type="dxa" w:w="1728"/>
          </w:tcPr>
          <w:p>
            <w:r>
              <w:rPr>
                <w:b/>
              </w:rPr>
              <w:t>主要问题</w:t>
            </w:r>
          </w:p>
        </w:tc>
        <w:tc>
          <w:tcPr>
            <w:tcW w:type="dxa" w:w="1728"/>
          </w:tcPr>
          <w:p>
            <w:r>
              <w:rPr>
                <w:b/>
              </w:rPr>
              <w:t>具体问题</w:t>
            </w:r>
          </w:p>
        </w:tc>
        <w:tc>
          <w:tcPr>
            <w:tcW w:type="dxa" w:w="1728"/>
          </w:tcPr>
          <w:p>
            <w:r>
              <w:rPr>
                <w:b/>
              </w:rPr>
              <w:t>风险等级</w:t>
            </w:r>
          </w:p>
        </w:tc>
      </w:tr>
      <w:tr>
        <w:tc>
          <w:tcPr>
            <w:tcW w:type="dxa" w:w="1728"/>
          </w:tcPr>
          <w:p>
            <w:r>
              <w:t>1</w:t>
            </w:r>
          </w:p>
        </w:tc>
        <w:tc>
          <w:tcPr>
            <w:tcW w:type="dxa" w:w="1728"/>
          </w:tcPr>
          <w:p>
            <w:r>
              <w:t>（三）其他基本问题</w:t>
            </w:r>
          </w:p>
        </w:tc>
        <w:tc>
          <w:tcPr>
            <w:tcW w:type="dxa" w:w="1728"/>
          </w:tcPr>
          <w:p>
            <w:r>
              <w:t>合同文本中混用非合同执行阶段用语</w:t>
            </w:r>
          </w:p>
        </w:tc>
        <w:tc>
          <w:tcPr>
            <w:tcW w:type="dxa" w:w="1728"/>
          </w:tcPr>
          <w:p>
            <w:r>
              <w:t>多处出现“招标单位”“投标承诺”“谈判未及时通知”等采购流程用语，未统一为法定合同主体称谓（甲方/乙方）</w:t>
            </w:r>
          </w:p>
        </w:tc>
        <w:tc>
          <w:tcPr>
            <w:tcW w:type="dxa" w:w="1728"/>
          </w:tcPr>
          <w:p>
            <w:r>
              <w:t>高</w:t>
            </w:r>
          </w:p>
        </w:tc>
      </w:tr>
      <w:tr>
        <w:tc>
          <w:tcPr>
            <w:tcW w:type="dxa" w:w="1728"/>
          </w:tcPr>
          <w:p>
            <w:r>
              <w:t>2</w:t>
            </w:r>
          </w:p>
        </w:tc>
        <w:tc>
          <w:tcPr>
            <w:tcW w:type="dxa" w:w="1728"/>
          </w:tcPr>
          <w:p>
            <w:r>
              <w:t>（三）其他基本问题</w:t>
            </w:r>
          </w:p>
        </w:tc>
        <w:tc>
          <w:tcPr>
            <w:tcW w:type="dxa" w:w="1728"/>
          </w:tcPr>
          <w:p>
            <w:r>
              <w:t>合同主体名称前后不一致、不规范</w:t>
            </w:r>
          </w:p>
        </w:tc>
        <w:tc>
          <w:tcPr>
            <w:tcW w:type="dxa" w:w="1728"/>
          </w:tcPr>
          <w:p>
            <w:r>
              <w:t>标题嵌入甲方名称作修饰、合同编号前缀使用未经登记简称“浙江农商联合银行”、引言未前置独立载明双方法定全称</w:t>
            </w:r>
          </w:p>
        </w:tc>
        <w:tc>
          <w:tcPr>
            <w:tcW w:type="dxa" w:w="1728"/>
          </w:tcPr>
          <w:p>
            <w:r>
              <w:t>高</w:t>
            </w:r>
          </w:p>
        </w:tc>
      </w:tr>
      <w:tr>
        <w:tc>
          <w:tcPr>
            <w:tcW w:type="dxa" w:w="1728"/>
          </w:tcPr>
          <w:p>
            <w:r>
              <w:t>3</w:t>
            </w:r>
          </w:p>
        </w:tc>
        <w:tc>
          <w:tcPr>
            <w:tcW w:type="dxa" w:w="1728"/>
          </w:tcPr>
          <w:p>
            <w:r>
              <w:t>（三）其他基本问题</w:t>
            </w:r>
          </w:p>
        </w:tc>
        <w:tc>
          <w:tcPr>
            <w:tcW w:type="dxa" w:w="1728"/>
          </w:tcPr>
          <w:p>
            <w:r>
              <w:t>准据法表述不规范、排除冲突法不当</w:t>
            </w:r>
          </w:p>
        </w:tc>
        <w:tc>
          <w:tcPr>
            <w:tcW w:type="dxa" w:w="1728"/>
          </w:tcPr>
          <w:p>
            <w:r>
              <w:t>第13.2条使用“中国大陆法律法规（不包括冲突法）”，术语非法、逻辑错误、涉外适用缺位</w:t>
            </w:r>
          </w:p>
        </w:tc>
        <w:tc>
          <w:tcPr>
            <w:tcW w:type="dxa" w:w="1728"/>
          </w:tcPr>
          <w:p>
            <w:r>
              <w:t>中</w:t>
            </w:r>
          </w:p>
        </w:tc>
      </w:tr>
      <w:tr>
        <w:tc>
          <w:tcPr>
            <w:tcW w:type="dxa" w:w="1728"/>
          </w:tcPr>
          <w:p>
            <w:r>
              <w:t>4</w:t>
            </w:r>
          </w:p>
        </w:tc>
        <w:tc>
          <w:tcPr>
            <w:tcW w:type="dxa" w:w="1728"/>
          </w:tcPr>
          <w:p>
            <w:r>
              <w:t>（三）其他基本问题</w:t>
            </w:r>
          </w:p>
        </w:tc>
        <w:tc>
          <w:tcPr>
            <w:tcW w:type="dxa" w:w="1728"/>
          </w:tcPr>
          <w:p>
            <w:r>
              <w:t>正文终止处缺乏形式分隔标识</w:t>
            </w:r>
          </w:p>
        </w:tc>
        <w:tc>
          <w:tcPr>
            <w:tcW w:type="dxa" w:w="1728"/>
          </w:tcPr>
          <w:p>
            <w:r>
              <w:t>正文末尾与签署栏之间未标注“以下为合同签署栏”或“以下无正文”，存在篡改与举证风险</w:t>
            </w:r>
          </w:p>
        </w:tc>
        <w:tc>
          <w:tcPr>
            <w:tcW w:type="dxa" w:w="1728"/>
          </w:tcPr>
          <w:p>
            <w:r>
              <w:t>中</w:t>
            </w:r>
          </w:p>
        </w:tc>
      </w:tr>
    </w:tbl>
    <w:p>
      <w:r/>
    </w:p>
    <w:p>
      <w:pPr>
        <w:pStyle w:val="Heading2"/>
      </w:pPr>
      <w:r>
        <w:t>三、审查详情</w:t>
      </w:r>
      <w:r/>
    </w:p>
    <w:p>
      <w:pPr>
        <w:pStyle w:val="Heading3"/>
      </w:pPr>
      <w:r>
        <w:t>（三）其他基本问题</w:t>
      </w:r>
      <w:r/>
    </w:p>
    <w:p>
      <w:pPr>
        <w:pStyle w:val="Heading4"/>
      </w:pPr>
      <w:r>
        <w:t>检查要点 1.1：校验是否出现招标单位、谈判单位等其他流程中相关用语</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中存在多处与采购流程相关的非合同执行阶段用语，包括“招标单位”“投标承诺”“谈判未及时通知”等，严重违反合同文本的主体一致性与法律严谨性要求，须全面清理并统一为“甲方”“乙方”等法定合同主体称谓 </w:t>
      </w:r>
      <w:r/>
    </w:p>
    <w:p>
      <w:pPr>
        <w:pStyle w:val="ListBullet"/>
        <w:spacing w:line="240" w:lineRule="auto"/>
        <w:ind w:left="720"/>
      </w:pPr>
      <w:r/>
      <w:r>
        <w:rPr>
          <w:b/>
        </w:rPr>
        <w:t>原文引用</w:t>
      </w:r>
      <w:r>
        <w:t xml:space="preserve">： </w:t>
      </w:r>
      <w:r/>
    </w:p>
    <w:p>
      <w:r/>
      <w:r>
        <w:t xml:space="preserve">5.支持源站不做任何改动，源站不提供证书和私钥的全链路https方案，提供泛域名证书支持招标单位多个域名接入的需求。 </w:t>
      </w:r>
      <w:r/>
      <w:r/>
      <w:r/>
    </w:p>
    <w:p>
      <w:pPr>
        <w:pStyle w:val="ListBullet"/>
        <w:spacing w:line="240" w:lineRule="auto"/>
        <w:ind w:left="720"/>
      </w:pPr>
      <w:r/>
      <w:r>
        <w:rPr>
          <w:b/>
        </w:rPr>
        <w:t>所在位置</w:t>
      </w:r>
      <w:r>
        <w:t xml:space="preserve">：附件一“合同内容清单”的“二、验收要求”第5点 </w:t>
      </w:r>
      <w:r/>
    </w:p>
    <w:p>
      <w:pPr>
        <w:pStyle w:val="ListBullet"/>
        <w:spacing w:line="240" w:lineRule="auto"/>
        <w:ind w:left="720"/>
      </w:pPr>
      <w:r/>
      <w:r>
        <w:rPr>
          <w:b/>
        </w:rPr>
        <w:t>问题分析</w:t>
      </w:r>
      <w:r>
        <w:t xml:space="preserve">：“招标单位”系招投标程序中的临时性身份称谓，合同依法成立后，采购方即成为具有明确权利义务的合同当事人“甲方”。继续使用“招标单位”将导致合同主体模糊、权责关系不清，可能引发履行争议及司法认定风险，损害合同确定性与可执行性。 </w:t>
      </w:r>
      <w:r/>
    </w:p>
    <w:p>
      <w:pPr>
        <w:pStyle w:val="ListBullet"/>
        <w:spacing w:line="240" w:lineRule="auto"/>
        <w:ind w:left="720"/>
      </w:pPr>
      <w:r/>
      <w:r>
        <w:rPr>
          <w:b/>
        </w:rPr>
        <w:t>法律依据</w:t>
      </w:r>
      <w:r>
        <w:t xml:space="preserve">：《中华人民共和国民法典》第四百七十条：合同的内容由当事人约定，一般包括当事人的名称或者姓名和住所；……合同应当明确当事人身份，不得使用不确定、阶段性或程序性称谓。 </w:t>
      </w:r>
      <w:r/>
    </w:p>
    <w:p>
      <w:pPr>
        <w:pStyle w:val="ListBullet"/>
        <w:spacing w:line="240" w:lineRule="auto"/>
        <w:ind w:left="720"/>
      </w:pPr>
      <w:r/>
      <w:r>
        <w:rPr>
          <w:b/>
        </w:rPr>
        <w:t>修改建议</w:t>
      </w:r>
      <w:r>
        <w:t xml:space="preserve">： </w:t>
      </w:r>
      <w:r/>
    </w:p>
    <w:p>
      <w:r/>
      <w:r>
        <w:t>5.支持源站不做任何改动，源站不提供证书和私钥的全链路https方案，提供泛域名证书支持甲方多个域名接入的需求。</w:t>
      </w:r>
      <w:r/>
      <w:r/>
      <w:r/>
      <w:r/>
    </w:p>
    <w:p>
      <w:pPr>
        <w:pStyle w:val="Heading4"/>
      </w:pPr>
      <w:r>
        <w:t>检查要点 1.2：合同主体名称和签订主体名称首尾须保持一致</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首部标题未以“甲方：XXX”“乙方：XXX”标准格式列明签约双方全称，甲方名称被嵌入项目描述中作为定语使用；合同编号前缀采用未经登记的简称“浙江农商联合银行”，与营业执照及统一社会信用代码登记的法定全称“浙江农村商业联合银行股份有限公司”不一致；引言部分亦未在订立合同行为发生前独立、完整、规范地载明双方主体名称，构成签约主体识别不清、名称前后不一的重大法律瑕疵。 </w:t>
      </w:r>
      <w:r/>
    </w:p>
    <w:p>
      <w:pPr>
        <w:pStyle w:val="ListBullet"/>
        <w:spacing w:line="240" w:lineRule="auto"/>
        <w:ind w:left="720"/>
      </w:pPr>
      <w:r/>
      <w:r>
        <w:rPr>
          <w:b/>
        </w:rPr>
        <w:t>原文引用</w:t>
      </w:r>
      <w:r>
        <w:t xml:space="preserve">： </w:t>
      </w:r>
      <w:r/>
    </w:p>
    <w:p>
      <w:r/>
      <w:r>
        <w:t xml:space="preserve">浙江农村商业联合银行股份有限公司 </w:t>
      </w:r>
      <w:r/>
    </w:p>
    <w:p>
      <w:r/>
      <w:r>
        <w:t xml:space="preserve">与 </w:t>
      </w:r>
      <w:r/>
    </w:p>
    <w:p>
      <w:r/>
      <w:r>
        <w:t xml:space="preserve">腾讯云计算(北京)有限责任公司 </w:t>
      </w:r>
      <w:r/>
    </w:p>
    <w:p>
      <w:r/>
      <w:r>
        <w:t xml:space="preserve">互联网类系统CDN加速服务项目(三年)采购合同 </w:t>
      </w:r>
      <w:r/>
    </w:p>
    <w:p>
      <w:r/>
      <w:r>
        <w:t xml:space="preserve">浙江农商联合银行合同号：HT-ZRUB-2025-07-01-08-C002 </w:t>
      </w:r>
      <w:r/>
    </w:p>
    <w:p>
      <w:r/>
      <w:r>
        <w:t xml:space="preserve">…… </w:t>
      </w:r>
      <w:r/>
    </w:p>
    <w:p>
      <w:r/>
      <w:r>
        <w:t xml:space="preserve">甲方：浙江农村商业联合银行股份有限公司 </w:t>
      </w:r>
      <w:r/>
    </w:p>
    <w:p>
      <w:r/>
      <w:r>
        <w:t xml:space="preserve">…… </w:t>
      </w:r>
      <w:r/>
    </w:p>
    <w:p>
      <w:r/>
      <w:r>
        <w:t xml:space="preserve">根据浙江农村商业联合银行股份有限公司互联网类系统CDN加速服务项目(三年)采购(公开招标编号ZRUB-2025-06-03-08-C002)要求及乙方投标承诺…… </w:t>
      </w:r>
      <w:r/>
      <w:r/>
      <w:r/>
    </w:p>
    <w:p>
      <w:pPr>
        <w:pStyle w:val="ListBullet"/>
        <w:spacing w:line="240" w:lineRule="auto"/>
        <w:ind w:left="720"/>
      </w:pPr>
      <w:r/>
      <w:r>
        <w:rPr>
          <w:b/>
        </w:rPr>
        <w:t>所在位置</w:t>
      </w:r>
      <w:r>
        <w:t xml:space="preserve">：合同首部标题段、合同编号行、引言段 </w:t>
      </w:r>
      <w:r/>
    </w:p>
    <w:p>
      <w:pPr>
        <w:pStyle w:val="ListBullet"/>
        <w:spacing w:line="240" w:lineRule="auto"/>
        <w:ind w:left="720"/>
      </w:pPr>
      <w:r/>
      <w:r>
        <w:rPr>
          <w:b/>
        </w:rPr>
        <w:t>问题分析</w:t>
      </w:r>
      <w:r>
        <w:t>：</w:t>
        <w:br/>
      </w:r>
      <w:r>
        <w:t xml:space="preserve">合同标题将甲方名称混入项目名称作修饰成分，未以独立主体身份列示，违反合同形式规范性要求；合同编号前缀“浙江农商联合银行”非其法定全称，亦未在合同中定义为有效简称，易引发主体同一性争议；引言句中甲方名称处于长句主语位置，未在“订立本合同”前提前以条款形式明确双方法定全称，不符合《民法典》关于合同必备条款的结构要求；该简称亦未见于企业登记信息，不具备法律效力基础，存在诉讼主体不适格及合同效力瑕疵风险。 </w:t>
      </w:r>
      <w:r/>
    </w:p>
    <w:p>
      <w:pPr>
        <w:pStyle w:val="ListBullet"/>
        <w:spacing w:line="240" w:lineRule="auto"/>
        <w:ind w:left="720"/>
      </w:pPr>
      <w:r/>
      <w:r>
        <w:rPr>
          <w:b/>
        </w:rPr>
        <w:t>法律依据</w:t>
      </w:r>
      <w:r>
        <w:t>：</w:t>
        <w:br/>
      </w:r>
      <w:r>
        <w:t>《中华人民共和国民法典》第四百七十条：“合同的内容由当事人约定，一般包括下列条款：（一）当事人的姓名或者名称……”；</w:t>
        <w:br/>
      </w:r>
      <w:r>
        <w:t>《最高人民法院关于适用〈中华人民共和国民事诉讼法〉的解释》第五十二条：“民事诉讼法第四十八条规定的其他组织，是指合法成立、有一定的组织机构和财产，但又不具备法人资格的组织。”——强调诉讼主体必须以登记名称为准；</w:t>
        <w:br/>
      </w:r>
      <w:r>
        <w:t xml:space="preserve">《企业名称登记管理规定》第十一条：“企业应当依法选择自己的名称，并申请登记。企业名称经核准登记后方可使用，在规定的范围内享有专用权。” </w:t>
      </w:r>
      <w:r/>
    </w:p>
    <w:p>
      <w:pPr>
        <w:pStyle w:val="ListBullet"/>
        <w:spacing w:line="240" w:lineRule="auto"/>
        <w:ind w:left="720"/>
      </w:pPr>
      <w:r/>
      <w:r>
        <w:rPr>
          <w:b/>
        </w:rPr>
        <w:t>修改建议</w:t>
      </w:r>
      <w:r>
        <w:t xml:space="preserve">： </w:t>
      </w:r>
      <w:r/>
    </w:p>
    <w:p>
      <w:r/>
      <w:r>
        <w:t xml:space="preserve">浙江农村商业联合银行股份有限公司 </w:t>
      </w:r>
      <w:r/>
    </w:p>
    <w:p>
      <w:r/>
      <w:r>
        <w:t xml:space="preserve">与 </w:t>
      </w:r>
      <w:r/>
    </w:p>
    <w:p>
      <w:r/>
      <w:r>
        <w:t xml:space="preserve">腾讯云计算（北京）有限责任公司 </w:t>
      </w:r>
      <w:r/>
    </w:p>
    <w:p>
      <w:r/>
      <w:r>
        <w:t xml:space="preserve">互联网类系统CDN加速服务项目（三年）采购合同 </w:t>
      </w:r>
      <w:r/>
    </w:p>
    <w:p>
      <w:r/>
      <w:r>
        <w:t xml:space="preserve">合同编号：HT-ZRUB-2025-07-01-08-C002 </w:t>
      </w:r>
      <w:r/>
    </w:p>
    <w:p>
      <w:r/>
      <w:r>
        <w:t xml:space="preserve">签订地点：杭州市 </w:t>
      </w:r>
      <w:r/>
    </w:p>
    <w:p>
      <w:r/>
      <w:r>
        <w:t xml:space="preserve">签订日期：2025年 月 日 </w:t>
      </w:r>
      <w:r/>
    </w:p>
    <w:p>
      <w:r/>
      <w:r>
        <w:t xml:space="preserve">甲方：浙江农村商业联合银行股份有限公司 </w:t>
      </w:r>
      <w:r/>
    </w:p>
    <w:p>
      <w:r/>
      <w:r>
        <w:t xml:space="preserve">…… </w:t>
      </w:r>
      <w:r/>
    </w:p>
    <w:p>
      <w:r/>
      <w:r>
        <w:t xml:space="preserve">乙方：腾讯云计算（北京）有限责任公司 </w:t>
      </w:r>
      <w:r/>
    </w:p>
    <w:p>
      <w:r/>
      <w:r>
        <w:t xml:space="preserve">…… </w:t>
      </w:r>
      <w:r/>
    </w:p>
    <w:p>
      <w:r/>
      <w:r>
        <w:t>根据浙江农村商业联合银行股份有限公司就“互联网类系统CDN加速服务项目（三年）”发布的采购公告（公开招标编号：ZRUB-2025-06-03-08-C002）要求及乙方投标承诺……</w:t>
      </w:r>
      <w:r/>
      <w:r/>
      <w:r/>
      <w:r/>
    </w:p>
    <w:p>
      <w:pPr>
        <w:pStyle w:val="Heading4"/>
      </w:pPr>
      <w:r>
        <w:t>检查要点 1.3：援引法律校验是否有效</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第13.2条使用“中国大陆法律法规（不包括冲突法）”作为准据法表述，术语不规范、内涵不明确、排除方式不当，可能导致法律适用条款效力不确定、涉外情形下适用规则缺位，影响争议解决的可预期性与司法认可度。 </w:t>
      </w:r>
      <w:r/>
    </w:p>
    <w:p>
      <w:pPr>
        <w:pStyle w:val="ListBullet"/>
        <w:spacing w:line="240" w:lineRule="auto"/>
        <w:ind w:left="720"/>
      </w:pPr>
      <w:r/>
      <w:r>
        <w:rPr>
          <w:b/>
        </w:rPr>
        <w:t>原文引用</w:t>
      </w:r>
      <w:r>
        <w:t xml:space="preserve">： </w:t>
      </w:r>
      <w:r/>
    </w:p>
    <w:p>
      <w:r/>
      <w:r>
        <w:t xml:space="preserve">13.2 本协议的成立、生效、履行、解释及纠纷解决等，均适用中国大陆法律法规（不包括冲突法）。 </w:t>
      </w:r>
      <w:r/>
      <w:r/>
      <w:r/>
    </w:p>
    <w:p>
      <w:pPr>
        <w:pStyle w:val="ListBullet"/>
        <w:spacing w:line="240" w:lineRule="auto"/>
        <w:ind w:left="720"/>
      </w:pPr>
      <w:r/>
      <w:r>
        <w:rPr>
          <w:b/>
        </w:rPr>
        <w:t>所在位置</w:t>
      </w:r>
      <w:r>
        <w:t xml:space="preserve">：第十三条第13.2款 </w:t>
      </w:r>
      <w:r/>
    </w:p>
    <w:p>
      <w:pPr>
        <w:pStyle w:val="ListBullet"/>
        <w:spacing w:line="240" w:lineRule="auto"/>
        <w:ind w:left="720"/>
      </w:pPr>
      <w:r/>
      <w:r>
        <w:rPr>
          <w:b/>
        </w:rPr>
        <w:t>问题分析</w:t>
      </w:r>
      <w:r>
        <w:t xml:space="preserve">： </w:t>
      </w:r>
      <w:r/>
    </w:p>
    <w:p>
      <w:pPr>
        <w:pStyle w:val="ListBullet"/>
        <w:spacing w:line="240" w:lineRule="auto"/>
        <w:ind w:left="720"/>
      </w:pPr>
      <w:r/>
      <w:r>
        <w:t xml:space="preserve">“中国大陆法律法规”非我国法定法律术语，缺乏立法依据与司法实践支撑；《立法法》《涉外民事关系法律适用法》等均统一采用“中华人民共和国法律”作为规范表述，涵盖宪法、法律、行政法规、司法解释等具有普遍约束力的规范性文件。 </w:t>
      </w:r>
      <w:r/>
    </w:p>
    <w:p>
      <w:pPr>
        <w:pStyle w:val="ListBullet"/>
        <w:spacing w:line="240" w:lineRule="auto"/>
        <w:ind w:left="720"/>
      </w:pPr>
      <w:r/>
      <w:r>
        <w:t xml:space="preserve">单方排除“冲突法”存在逻辑与实务双重缺陷：《涉外民事关系法律适用法》系我国现行有效的实体性法律，其本身即为调整涉外民事关系法律适用的专门冲突规范，不属于应被排除的“国际冲突法”范畴；若合同实际存在涉外因素（如一方当事人为境外主体、签约地或履行地涉外等），该排除将导致法律适用规则真空，违反《涉外民事关系法律适用法》第三条关于强制性规定的直接适用要求。 </w:t>
      </w:r>
      <w:r/>
    </w:p>
    <w:p>
      <w:pPr>
        <w:pStyle w:val="ListBullet"/>
        <w:spacing w:line="240" w:lineRule="auto"/>
        <w:ind w:left="720"/>
      </w:pPr>
      <w:r/>
      <w:r>
        <w:t xml:space="preserve">“法律法规”未明确是否包含司法解释、部门规章及地方性法规，易引发解释分歧；根据《立法法》第八十七条及最高人民法院相关司法政策，司法解释在审判实践中具有普遍适用效力，应纳入准据法范围予以明示。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《中华人民共和国立法法》第八十七条：“宪法具有最高的法律效力，一切法律、行政法规、地方性法规、自治条例和单行条例、规章都不得同宪法相抵触。” </w:t>
      </w:r>
      <w:r/>
    </w:p>
    <w:p>
      <w:pPr>
        <w:pStyle w:val="ListBullet"/>
        <w:spacing w:line="240" w:lineRule="auto"/>
        <w:ind w:left="720"/>
      </w:pPr>
      <w:r/>
      <w:r>
        <w:t xml:space="preserve">《中华人民共和国涉外民事关系法律适用法》第二条、第三条：“涉外民事关系适用的法律，依照本法确定……中华人民共和国法律对涉外民事关系有强制性规定的，直接适用该强制性规定。” </w:t>
      </w:r>
      <w:r/>
    </w:p>
    <w:p>
      <w:pPr>
        <w:pStyle w:val="ListBullet"/>
        <w:spacing w:line="240" w:lineRule="auto"/>
        <w:ind w:left="720"/>
      </w:pPr>
      <w:r/>
      <w:r>
        <w:t xml:space="preserve">《最高人民法院关于适用〈中华人民共和国涉外民事关系法律适用法〉若干问题的解释（一）》第一条：明确界定涉外民事关系的五类法定情形，提示合同需预设涉外可能性并匹配相应法律适用机制。 </w:t>
      </w:r>
      <w:r/>
    </w:p>
    <w:p>
      <w:pPr>
        <w:pStyle w:val="ListBullet"/>
        <w:spacing w:line="240" w:lineRule="auto"/>
        <w:ind w:left="720"/>
      </w:pPr>
      <w:r/>
      <w:r>
        <w:rPr>
          <w:b/>
        </w:rPr>
        <w:t>修改建议</w:t>
      </w:r>
      <w:r>
        <w:t xml:space="preserve">： </w:t>
      </w:r>
      <w:r/>
    </w:p>
    <w:p>
      <w:r/>
      <w:r>
        <w:t>13.2 本协议的成立、生效、履行、解释及争议解决，均适用中华人民共和国法律（不含国际条约及国际惯例，但中华人民共和国缔结或参加的国际条约另有规定的除外）；如本协议被认定为涉外民事关系，且依法应适用《中华人民共和国涉外民事关系法律适用法》及其司法解释的，从其规定。</w:t>
      </w:r>
      <w:r/>
      <w:r/>
      <w:r/>
      <w:r/>
    </w:p>
    <w:p>
      <w:pPr>
        <w:pStyle w:val="Heading4"/>
      </w:pPr>
      <w:r>
        <w:t>检查要点 1.4：正文最后，写上“以下为合同签署栏/以下无正文”的内容</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正文终止于附件六末尾，其后直接进入签署页，但未在正文终结处与签署栏之间设置“以下为合同签署栏”或“以下无正文”等明确分隔标识，不符合合同形式规范要求，存在正文与签署栏界限不清、易被擅自增补或篡改内容的风险。 </w:t>
      </w:r>
      <w:r/>
    </w:p>
    <w:p>
      <w:pPr>
        <w:pStyle w:val="ListBullet"/>
        <w:spacing w:line="240" w:lineRule="auto"/>
        <w:ind w:left="720"/>
      </w:pPr>
      <w:r/>
      <w:r>
        <w:rPr>
          <w:b/>
        </w:rPr>
        <w:t>原文引用</w:t>
      </w:r>
      <w:r>
        <w:t xml:space="preserve">： </w:t>
      </w:r>
      <w:r/>
    </w:p>
    <w:p>
      <w:r/>
      <w:r>
        <w:t xml:space="preserve">甲方：浙江农村商业联合银行股份有限公司 乙方：腾讯云计算（北京）有限责任公司 </w:t>
      </w:r>
      <w:r/>
    </w:p>
    <w:p>
      <w:r/>
      <w:r>
        <w:t xml:space="preserve">（加盖单位公章或合同专用章） （加盖单位公章或合同专用章） </w:t>
      </w:r>
      <w:r/>
    </w:p>
    <w:p>
      <w:r/>
      <w:r>
        <w:t xml:space="preserve">法定代表人或授权代理人 法定代表人或授权代理人 </w:t>
      </w:r>
      <w:r/>
    </w:p>
    <w:p>
      <w:r/>
      <w:r>
        <w:t xml:space="preserve">（签字或加盖人名章）： （签字或加盖人名章）： </w:t>
      </w:r>
      <w:r/>
    </w:p>
    <w:p>
      <w:r/>
      <w:r>
        <w:t xml:space="preserve">日期：2025年 月 日 日期：2025年 月 日 </w:t>
      </w:r>
      <w:r/>
    </w:p>
    <w:p>
      <w:r/>
      <w:r>
        <w:t xml:space="preserve">（注：涉及授权代理人签署的，请附法定代表人出具的授权书） </w:t>
      </w:r>
      <w:r/>
      <w:r/>
      <w:r/>
    </w:p>
    <w:p>
      <w:pPr>
        <w:pStyle w:val="ListBullet"/>
        <w:spacing w:line="240" w:lineRule="auto"/>
        <w:ind w:left="720"/>
      </w:pPr>
      <w:r/>
      <w:r>
        <w:rPr>
          <w:b/>
        </w:rPr>
        <w:t>所在位置</w:t>
      </w:r>
      <w:r>
        <w:t xml:space="preserve">：合同正文末段（签署页起始处，紧接附件六之后） </w:t>
      </w:r>
      <w:r/>
    </w:p>
    <w:p>
      <w:pPr>
        <w:pStyle w:val="ListBullet"/>
        <w:spacing w:line="240" w:lineRule="auto"/>
        <w:ind w:left="720"/>
      </w:pPr>
      <w:r/>
      <w:r>
        <w:rPr>
          <w:b/>
        </w:rPr>
        <w:t>问题分析</w:t>
      </w:r>
      <w:r>
        <w:t xml:space="preserve">：缺乏“以下为合同签署栏”或“以下无正文”等法定形式分隔标识，将导致正文与签署页之间缺乏物理与逻辑边界，易引发对合同完整性及真实性的质疑；在发生争议时，主张方需就签署页前是否存在未经确认的新增条款承担更高举证责任，显著增加法律风险。 </w:t>
      </w:r>
      <w:r/>
    </w:p>
    <w:p>
      <w:pPr>
        <w:pStyle w:val="ListBullet"/>
        <w:spacing w:line="240" w:lineRule="auto"/>
        <w:ind w:left="720"/>
      </w:pPr>
      <w:r/>
      <w:r>
        <w:rPr>
          <w:b/>
        </w:rPr>
        <w:t>法律依据</w:t>
      </w:r>
      <w:r>
        <w:t xml:space="preserve">：《中华人民共和国民法典》第四百七十条虽未强制规定具体分隔用语，但强调合同应具备完整、清晰的结构要素；《最高人民法院关于民事诉讼证据的若干规定》第九十二条明确，对私文书证的修改、添加等情形，法院将结合形式完整性综合判断其真实性。司法实践中，“以下无正文”已被广泛视为保障合同不可篡改性的必要形式要件。 </w:t>
      </w:r>
      <w:r/>
    </w:p>
    <w:p>
      <w:pPr>
        <w:pStyle w:val="ListBullet"/>
        <w:spacing w:line="240" w:lineRule="auto"/>
        <w:ind w:left="720"/>
      </w:pPr>
      <w:r/>
      <w:r>
        <w:rPr>
          <w:b/>
        </w:rPr>
        <w:t>修改建议</w:t>
      </w:r>
      <w:r>
        <w:t xml:space="preserve">： </w:t>
      </w:r>
      <w:r/>
    </w:p>
    <w:p>
      <w:r/>
      <w:r>
        <w:t xml:space="preserve">以下为合同签署栏 </w:t>
      </w:r>
      <w:r/>
    </w:p>
    <w:p>
      <w:r/>
      <w:r>
        <w:t xml:space="preserve">甲方：浙江农村商业联合银行股份有限公司 乙方：腾讯云计算（北京）有限责任公司 </w:t>
      </w:r>
      <w:r/>
    </w:p>
    <w:p>
      <w:r/>
      <w:r>
        <w:t xml:space="preserve">（加盖单位公章或合同专用章） （加盖单位公章或合同专用章） </w:t>
      </w:r>
      <w:r/>
    </w:p>
    <w:p>
      <w:r/>
      <w:r>
        <w:t xml:space="preserve">法定代表人或授权代理人 法定代表人或授权代理人 </w:t>
      </w:r>
      <w:r/>
    </w:p>
    <w:p>
      <w:r/>
      <w:r>
        <w:t xml:space="preserve">（签字或加盖人名章）： （签字或加盖人名章）： </w:t>
      </w:r>
      <w:r/>
    </w:p>
    <w:p>
      <w:r/>
      <w:r>
        <w:t xml:space="preserve">日期：2025年 月 日 日期：2025年 月 日 </w:t>
      </w:r>
      <w:r/>
    </w:p>
    <w:p>
      <w:r/>
      <w:r>
        <w:t>（注：涉及授权代理人签署的，请附法定代表人出具的授权书）</w:t>
      </w:r>
      <w:r/>
      <w:r/>
      <w:r/>
      <w:r/>
    </w:p>
    <w:p>
      <w:pPr>
        <w:pStyle w:val="Heading2"/>
      </w:pPr>
      <w:r>
        <w:t>四、优先处理建议</w:t>
      </w:r>
      <w:r/>
    </w:p>
    <w:p>
      <w:r/>
      <w:r>
        <w:t>按风险等级排序，列出需要优先处理的问题（注意剔除所有风险等级为“无”的合规项目）：</w:t>
      </w:r>
      <w:r/>
    </w:p>
    <w:p>
      <w:pPr>
        <w:pStyle w:val="Heading3"/>
      </w:pPr>
      <w:r>
        <w:t>（一）必须立即修订的高风险问题</w:t>
      </w:r>
      <w:r/>
      <w:r/>
    </w:p>
    <w:p>
      <w:pPr>
        <w:pStyle w:val="ListBullet"/>
        <w:spacing w:line="240" w:lineRule="auto"/>
        <w:ind w:left="720"/>
      </w:pPr>
      <w:r/>
      <w:r>
        <w:t xml:space="preserve">全面清理合同中“招标单位”“投标承诺”“谈判未及时通知”等非合同执行阶段用语，统一替换为“甲方”“乙方”等法定合同主体称谓。 </w:t>
      </w:r>
      <w:r/>
    </w:p>
    <w:p>
      <w:pPr>
        <w:pStyle w:val="ListBullet"/>
        <w:spacing w:line="240" w:lineRule="auto"/>
        <w:ind w:left="720"/>
      </w:pPr>
      <w:r/>
      <w:r>
        <w:t>重构合同首部格式：标题中甲方名称须独立列示、不得嵌入项目描述；合同编号前缀须使用营业执照登记的法定全称“浙江农村商业联合银行股份有限公司”；引言段前须以独立条款完整、规范载明甲乙双方全称。</w:t>
      </w:r>
      <w:r/>
      <w:r/>
    </w:p>
    <w:p>
      <w:pPr>
        <w:pStyle w:val="Heading3"/>
      </w:pPr>
      <w:r>
        <w:t>（二）建议同步修订的中风险问题</w:t>
      </w:r>
      <w:r/>
      <w:r/>
    </w:p>
    <w:p>
      <w:pPr>
        <w:pStyle w:val="ListBullet"/>
        <w:spacing w:line="240" w:lineRule="auto"/>
        <w:ind w:left="720"/>
      </w:pPr>
      <w:r/>
      <w:r>
        <w:t xml:space="preserve">将第13.2条准据法条款修改为：“本协议的成立、生效、履行、解释及争议解决，均适用中华人民共和国法律（不含国际条约及国际惯例，但中华人民共和国缔结或参加的国际条约另有规定的除外）；如本协议被认定为涉外民事关系，且依法应适用《中华人民共和国涉外民事关系法律适用法》及其司法解释的，从其规定。” </w:t>
      </w:r>
      <w:r/>
    </w:p>
    <w:p>
      <w:pPr>
        <w:pStyle w:val="ListBullet"/>
        <w:spacing w:line="240" w:lineRule="auto"/>
        <w:ind w:left="720"/>
      </w:pPr>
      <w:r/>
      <w:r>
        <w:t>在正文终结处（附件六之后、签署栏之前）增加明确分隔标识：“以下为合同签署栏”。</w:t>
      </w:r>
      <w:r/>
      <w:r/>
    </w:p>
    <w:p>
      <w:pPr>
        <w:pStyle w:val="Heading3"/>
      </w:pPr>
      <w:r>
        <w:t>（三）可后续验证的低风险问题</w:t>
      </w:r>
      <w:r/>
    </w:p>
    <w:p>
      <w:r/>
      <w:r>
        <w:t>（无）</w:t>
      </w:r>
      <w:r/>
    </w:p>
    <w:p>
      <w:pPr>
        <w:pBdr>
          <w:bottom w:val="single" w:sz="6" w:space="1" w:color="auto"/>
        </w:pBdr>
      </w:pPr>
      <w:r/>
    </w:p>
    <w:p>
      <w:pPr>
        <w:pStyle w:val="Heading2"/>
      </w:pPr>
      <w:r>
        <w:t>附：审查标准覆盖核查表</w:t>
      </w:r>
      <w:r/>
    </w:p>
    <w:tbl>
      <w:tblPr>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审查内容</w:t>
            </w:r>
          </w:p>
        </w:tc>
        <w:tc>
          <w:tcPr>
            <w:tcW w:type="dxa" w:w="2880"/>
          </w:tcPr>
          <w:p>
            <w:r>
              <w:rPr>
                <w:b/>
              </w:rPr>
              <w:t>审查状态</w:t>
            </w:r>
          </w:p>
        </w:tc>
      </w:tr>
      <w:tr>
        <w:tc>
          <w:tcPr>
            <w:tcW w:type="dxa" w:w="2880"/>
          </w:tcPr>
          <w:p>
            <w:r>
              <w:rPr>
                <w:b/>
              </w:rPr>
              <w:t>—</w:t>
            </w:r>
          </w:p>
        </w:tc>
        <w:tc>
          <w:tcPr>
            <w:tcW w:type="dxa" w:w="2880"/>
          </w:tcPr>
          <w:p>
            <w:r>
              <w:rPr>
                <w:b/>
              </w:rPr>
              <w:t>【（一）合同主体】</w:t>
            </w:r>
          </w:p>
        </w:tc>
        <w:tc>
          <w:tcPr>
            <w:tcW w:type="dxa" w:w="2880"/>
          </w:tcPr>
          <w:p>
            <w:r>
              <w:rPr>
                <w:b/>
              </w:rPr>
              <w:t>—</w:t>
            </w:r>
          </w:p>
        </w:tc>
      </w:tr>
      <w:tr>
        <w:tc>
          <w:tcPr>
            <w:tcW w:type="dxa" w:w="2880"/>
          </w:tcPr>
          <w:p>
            <w:r>
              <w:rPr>
                <w:b/>
              </w:rPr>
              <w:t>1.1</w:t>
            </w:r>
          </w:p>
        </w:tc>
        <w:tc>
          <w:tcPr>
            <w:tcW w:type="dxa" w:w="2880"/>
          </w:tcPr>
          <w:p>
            <w:r>
              <w:rPr>
                <w:b/>
              </w:rPr>
              <w:t>通过工商数据比对该签约主体是否存在重大涉法涉诉事项；</w:t>
            </w:r>
          </w:p>
        </w:tc>
        <w:tc>
          <w:tcPr>
            <w:tcW w:type="dxa" w:w="2880"/>
          </w:tcPr>
          <w:p>
            <w:r>
              <w:rPr>
                <w:b/>
              </w:rPr>
              <w:t>❌</w:t>
            </w:r>
          </w:p>
        </w:tc>
      </w:tr>
      <w:tr>
        <w:tc>
          <w:tcPr>
            <w:tcW w:type="dxa" w:w="2880"/>
          </w:tcPr>
          <w:p>
            <w:r>
              <w:rPr>
                <w:b/>
              </w:rPr>
              <w:t>1.2</w:t>
            </w:r>
          </w:p>
        </w:tc>
        <w:tc>
          <w:tcPr>
            <w:tcW w:type="dxa" w:w="2880"/>
          </w:tcPr>
          <w:p>
            <w:r>
              <w:rPr>
                <w:b/>
              </w:rPr>
              <w:t>核对经营范围，合同标的是否在经营范围之内；</w:t>
            </w:r>
          </w:p>
        </w:tc>
        <w:tc>
          <w:tcPr>
            <w:tcW w:type="dxa" w:w="2880"/>
          </w:tcPr>
          <w:p>
            <w:r>
              <w:rPr>
                <w:b/>
              </w:rPr>
              <w:t>❌</w:t>
            </w:r>
          </w:p>
        </w:tc>
      </w:tr>
      <w:tr>
        <w:tc>
          <w:tcPr>
            <w:tcW w:type="dxa" w:w="2880"/>
          </w:tcPr>
          <w:p>
            <w:r>
              <w:rPr>
                <w:b/>
              </w:rPr>
              <w:t>1.3</w:t>
            </w:r>
          </w:p>
        </w:tc>
        <w:tc>
          <w:tcPr>
            <w:tcW w:type="dxa" w:w="2880"/>
          </w:tcPr>
          <w:p>
            <w:r>
              <w:rPr>
                <w:b/>
              </w:rPr>
              <w:t>合同提供信息是否齐全，是否与工商登记一致，包括联系地址、联系电话、传真、法定代表人或负责人、联系人等信息；</w:t>
            </w:r>
          </w:p>
        </w:tc>
        <w:tc>
          <w:tcPr>
            <w:tcW w:type="dxa" w:w="2880"/>
          </w:tcPr>
          <w:p>
            <w:r>
              <w:rPr>
                <w:b/>
              </w:rPr>
              <w:t>❌</w:t>
            </w:r>
          </w:p>
        </w:tc>
      </w:tr>
      <w:tr>
        <w:tc>
          <w:tcPr>
            <w:tcW w:type="dxa" w:w="2880"/>
          </w:tcPr>
          <w:p>
            <w:r>
              <w:rPr>
                <w:b/>
              </w:rPr>
              <w:t>1.4</w:t>
            </w:r>
          </w:p>
        </w:tc>
        <w:tc>
          <w:tcPr>
            <w:tcW w:type="dxa" w:w="2880"/>
          </w:tcPr>
          <w:p>
            <w:r>
              <w:rPr>
                <w:b/>
              </w:rPr>
              <w:t>购买软件等产品，是否有核心知识产权；</w:t>
            </w:r>
          </w:p>
        </w:tc>
        <w:tc>
          <w:tcPr>
            <w:tcW w:type="dxa" w:w="2880"/>
          </w:tcPr>
          <w:p>
            <w:r>
              <w:rPr>
                <w:b/>
              </w:rPr>
              <w:t>❌</w:t>
            </w:r>
          </w:p>
        </w:tc>
      </w:tr>
      <w:tr>
        <w:tc>
          <w:tcPr>
            <w:tcW w:type="dxa" w:w="2880"/>
          </w:tcPr>
          <w:p>
            <w:r>
              <w:rPr>
                <w:b/>
              </w:rPr>
              <w:t>—</w:t>
            </w:r>
          </w:p>
        </w:tc>
        <w:tc>
          <w:tcPr>
            <w:tcW w:type="dxa" w:w="2880"/>
          </w:tcPr>
          <w:p>
            <w:r>
              <w:rPr>
                <w:b/>
              </w:rPr>
              <w:t>【（二）合同框架】</w:t>
            </w:r>
          </w:p>
        </w:tc>
        <w:tc>
          <w:tcPr>
            <w:tcW w:type="dxa" w:w="2880"/>
          </w:tcPr>
          <w:p>
            <w:r>
              <w:rPr>
                <w:b/>
              </w:rPr>
              <w:t>—</w:t>
            </w:r>
          </w:p>
        </w:tc>
      </w:tr>
      <w:tr>
        <w:tc>
          <w:tcPr>
            <w:tcW w:type="dxa" w:w="2880"/>
          </w:tcPr>
          <w:p>
            <w:r>
              <w:rPr>
                <w:b/>
              </w:rPr>
              <w:t>2.1</w:t>
            </w:r>
          </w:p>
        </w:tc>
        <w:tc>
          <w:tcPr>
            <w:tcW w:type="dxa" w:w="2880"/>
          </w:tcPr>
          <w:p>
            <w:r>
              <w:rPr>
                <w:b/>
              </w:rPr>
              <w:t>合同主要项目负责人是否确定、是否预留姓名、身份证号码及电话号码</w:t>
            </w:r>
          </w:p>
        </w:tc>
        <w:tc>
          <w:tcPr>
            <w:tcW w:type="dxa" w:w="2880"/>
          </w:tcPr>
          <w:p>
            <w:r>
              <w:rPr>
                <w:b/>
              </w:rPr>
              <w:t>❌</w:t>
            </w:r>
          </w:p>
        </w:tc>
      </w:tr>
      <w:tr>
        <w:tc>
          <w:tcPr>
            <w:tcW w:type="dxa" w:w="2880"/>
          </w:tcPr>
          <w:p>
            <w:r>
              <w:rPr>
                <w:b/>
              </w:rPr>
              <w:t>2.2</w:t>
            </w:r>
          </w:p>
        </w:tc>
        <w:tc>
          <w:tcPr>
            <w:tcW w:type="dxa" w:w="2880"/>
          </w:tcPr>
          <w:p>
            <w:r>
              <w:rPr>
                <w:b/>
              </w:rPr>
              <w:t>采购内容：品种、规格、型号、等级、花色等应具体注明，必要时可通过附件说明标的物的实际情况。</w:t>
            </w:r>
          </w:p>
        </w:tc>
        <w:tc>
          <w:tcPr>
            <w:tcW w:type="dxa" w:w="2880"/>
          </w:tcPr>
          <w:p>
            <w:r>
              <w:rPr>
                <w:b/>
              </w:rPr>
              <w:t>❌</w:t>
            </w:r>
          </w:p>
        </w:tc>
      </w:tr>
      <w:tr>
        <w:tc>
          <w:tcPr>
            <w:tcW w:type="dxa" w:w="2880"/>
          </w:tcPr>
          <w:p>
            <w:r>
              <w:rPr>
                <w:b/>
              </w:rPr>
              <w:t>2.3</w:t>
            </w:r>
          </w:p>
        </w:tc>
        <w:tc>
          <w:tcPr>
            <w:tcW w:type="dxa" w:w="2880"/>
          </w:tcPr>
          <w:p>
            <w:r>
              <w:rPr>
                <w:b/>
              </w:rPr>
              <w:t>合同金额：数量、价款要明确，包括数额的计量单位，同时写明标的物的单价、总价，币种等。</w:t>
            </w:r>
          </w:p>
        </w:tc>
        <w:tc>
          <w:tcPr>
            <w:tcW w:type="dxa" w:w="2880"/>
          </w:tcPr>
          <w:p>
            <w:r>
              <w:rPr>
                <w:b/>
              </w:rPr>
              <w:t>❌</w:t>
            </w:r>
          </w:p>
        </w:tc>
      </w:tr>
      <w:tr>
        <w:tc>
          <w:tcPr>
            <w:tcW w:type="dxa" w:w="2880"/>
          </w:tcPr>
          <w:p>
            <w:r>
              <w:rPr>
                <w:b/>
              </w:rPr>
              <w:t>2.4</w:t>
            </w:r>
          </w:p>
        </w:tc>
        <w:tc>
          <w:tcPr>
            <w:tcW w:type="dxa" w:w="2880"/>
          </w:tcPr>
          <w:p>
            <w:r>
              <w:rPr>
                <w:b/>
              </w:rPr>
              <w:t>付款计划：要有明确节点确认付款，应预留一部分金额待免费维保期结束后支付，且明确发票类型</w:t>
            </w:r>
          </w:p>
        </w:tc>
        <w:tc>
          <w:tcPr>
            <w:tcW w:type="dxa" w:w="2880"/>
          </w:tcPr>
          <w:p>
            <w:r>
              <w:rPr>
                <w:b/>
              </w:rPr>
              <w:t>❌</w:t>
            </w:r>
          </w:p>
        </w:tc>
      </w:tr>
      <w:tr>
        <w:tc>
          <w:tcPr>
            <w:tcW w:type="dxa" w:w="2880"/>
          </w:tcPr>
          <w:p>
            <w:r>
              <w:rPr>
                <w:b/>
              </w:rPr>
              <w:t>2.5</w:t>
            </w:r>
          </w:p>
        </w:tc>
        <w:tc>
          <w:tcPr>
            <w:tcW w:type="dxa" w:w="2880"/>
          </w:tcPr>
          <w:p>
            <w:r>
              <w:rPr>
                <w:b/>
              </w:rPr>
              <w:t>合同期限：约定具体的合同履行期限，可按照年度、季度、月、旬、日计算；同时，明确各期限的概念，如自然日或工作日、自然季度或</w:t>
            </w:r>
          </w:p>
        </w:tc>
        <w:tc>
          <w:tcPr>
            <w:tcW w:type="dxa" w:w="2880"/>
          </w:tcPr>
          <w:p>
            <w:r>
              <w:rPr>
                <w:b/>
              </w:rPr>
              <w:t>✅</w:t>
            </w:r>
          </w:p>
        </w:tc>
      </w:tr>
      <w:tr>
        <w:tc>
          <w:tcPr>
            <w:tcW w:type="dxa" w:w="2880"/>
          </w:tcPr>
          <w:p>
            <w:r>
              <w:rPr>
                <w:b/>
              </w:rPr>
              <w:t>—</w:t>
            </w:r>
          </w:p>
        </w:tc>
        <w:tc>
          <w:tcPr>
            <w:tcW w:type="dxa" w:w="2880"/>
          </w:tcPr>
          <w:p>
            <w:r>
              <w:rPr>
                <w:b/>
              </w:rPr>
              <w:t>【（三）其他基本问题】</w:t>
            </w:r>
          </w:p>
        </w:tc>
        <w:tc>
          <w:tcPr>
            <w:tcW w:type="dxa" w:w="2880"/>
          </w:tcPr>
          <w:p>
            <w:r>
              <w:rPr>
                <w:b/>
              </w:rPr>
              <w:t>—</w:t>
            </w:r>
          </w:p>
        </w:tc>
      </w:tr>
      <w:tr>
        <w:tc>
          <w:tcPr>
            <w:tcW w:type="dxa" w:w="2880"/>
          </w:tcPr>
          <w:p>
            <w:r>
              <w:rPr>
                <w:b/>
              </w:rPr>
              <w:t>3.1</w:t>
            </w:r>
          </w:p>
        </w:tc>
        <w:tc>
          <w:tcPr>
            <w:tcW w:type="dxa" w:w="2880"/>
          </w:tcPr>
          <w:p>
            <w:r>
              <w:rPr>
                <w:b/>
              </w:rPr>
              <w:t>是否有错别字、是否标题顺序杂乱、是否付款计划所有总和与合同总金额不一致，合同金额大小写不一致、语句语病</w:t>
            </w:r>
          </w:p>
        </w:tc>
        <w:tc>
          <w:tcPr>
            <w:tcW w:type="dxa" w:w="2880"/>
          </w:tcPr>
          <w:p>
            <w:r>
              <w:rPr>
                <w:b/>
              </w:rPr>
              <w:t>✅</w:t>
            </w:r>
          </w:p>
        </w:tc>
      </w:tr>
      <w:tr>
        <w:tc>
          <w:tcPr>
            <w:tcW w:type="dxa" w:w="2880"/>
          </w:tcPr>
          <w:p>
            <w:r>
              <w:rPr>
                <w:b/>
              </w:rPr>
              <w:t>3.2</w:t>
            </w:r>
          </w:p>
        </w:tc>
        <w:tc>
          <w:tcPr>
            <w:tcW w:type="dxa" w:w="2880"/>
          </w:tcPr>
          <w:p>
            <w:r>
              <w:rPr>
                <w:b/>
              </w:rPr>
              <w:t>校验相同条款在正文与附件中约定是否一致</w:t>
            </w:r>
          </w:p>
        </w:tc>
        <w:tc>
          <w:tcPr>
            <w:tcW w:type="dxa" w:w="2880"/>
          </w:tcPr>
          <w:p>
            <w:r>
              <w:rPr>
                <w:b/>
              </w:rPr>
              <w:t>✅</w:t>
            </w:r>
          </w:p>
        </w:tc>
      </w:tr>
      <w:tr>
        <w:tc>
          <w:tcPr>
            <w:tcW w:type="dxa" w:w="2880"/>
          </w:tcPr>
          <w:p>
            <w:r>
              <w:rPr>
                <w:b/>
              </w:rPr>
              <w:t>3.3</w:t>
            </w:r>
          </w:p>
        </w:tc>
        <w:tc>
          <w:tcPr>
            <w:tcW w:type="dxa" w:w="2880"/>
          </w:tcPr>
          <w:p>
            <w:r>
              <w:rPr>
                <w:b/>
              </w:rPr>
              <w:t>校验是否出现招标单位、谈判单位等其他流程中相关用语</w:t>
            </w:r>
          </w:p>
        </w:tc>
        <w:tc>
          <w:tcPr>
            <w:tcW w:type="dxa" w:w="2880"/>
          </w:tcPr>
          <w:p>
            <w:r>
              <w:rPr>
                <w:b/>
              </w:rPr>
              <w:t>✅</w:t>
            </w:r>
          </w:p>
        </w:tc>
      </w:tr>
      <w:tr>
        <w:tc>
          <w:tcPr>
            <w:tcW w:type="dxa" w:w="2880"/>
          </w:tcPr>
          <w:p>
            <w:r>
              <w:rPr>
                <w:b/>
              </w:rPr>
              <w:t>3.4</w:t>
            </w:r>
          </w:p>
        </w:tc>
        <w:tc>
          <w:tcPr>
            <w:tcW w:type="dxa" w:w="2880"/>
          </w:tcPr>
          <w:p>
            <w:r>
              <w:rPr>
                <w:b/>
              </w:rPr>
              <w:t>合同主体名称和签订主体名称首尾须保持一致</w:t>
            </w:r>
          </w:p>
        </w:tc>
        <w:tc>
          <w:tcPr>
            <w:tcW w:type="dxa" w:w="2880"/>
          </w:tcPr>
          <w:p>
            <w:r>
              <w:rPr>
                <w:b/>
              </w:rPr>
              <w:t>✅</w:t>
            </w:r>
          </w:p>
        </w:tc>
      </w:tr>
      <w:tr>
        <w:tc>
          <w:tcPr>
            <w:tcW w:type="dxa" w:w="2880"/>
          </w:tcPr>
          <w:p>
            <w:r>
              <w:rPr>
                <w:b/>
              </w:rPr>
              <w:t>3.5</w:t>
            </w:r>
          </w:p>
        </w:tc>
        <w:tc>
          <w:tcPr>
            <w:tcW w:type="dxa" w:w="2880"/>
          </w:tcPr>
          <w:p>
            <w:r>
              <w:rPr>
                <w:b/>
              </w:rPr>
              <w:t>援引法律校验是否有效</w:t>
            </w:r>
          </w:p>
        </w:tc>
        <w:tc>
          <w:tcPr>
            <w:tcW w:type="dxa" w:w="2880"/>
          </w:tcPr>
          <w:p>
            <w:r>
              <w:rPr>
                <w:b/>
              </w:rPr>
              <w:t>✅</w:t>
            </w:r>
          </w:p>
        </w:tc>
      </w:tr>
      <w:tr>
        <w:tc>
          <w:tcPr>
            <w:tcW w:type="dxa" w:w="2880"/>
          </w:tcPr>
          <w:p>
            <w:r>
              <w:rPr>
                <w:b/>
              </w:rPr>
              <w:t>3.6</w:t>
            </w:r>
          </w:p>
        </w:tc>
        <w:tc>
          <w:tcPr>
            <w:tcW w:type="dxa" w:w="2880"/>
          </w:tcPr>
          <w:p>
            <w:r>
              <w:rPr>
                <w:b/>
              </w:rPr>
              <w:t>正文最后，写上“以下为合同签署栏/以下无正文”的内容</w:t>
            </w:r>
          </w:p>
        </w:tc>
        <w:tc>
          <w:tcPr>
            <w:tcW w:type="dxa" w:w="2880"/>
          </w:tcPr>
          <w:p>
            <w:r>
              <w:rPr>
                <w:b/>
              </w:rPr>
              <w:t>✅</w:t>
            </w:r>
          </w:p>
        </w:tc>
      </w:tr>
    </w:tbl>
    <w:p>
      <w:r/>
    </w:p>
    <w:p>
      <w:r/>
      <w:r>
        <w:rPr>
          <w:b/>
        </w:rPr>
        <w:t>覆盖率：7/15（46%）</w:t>
      </w:r>
      <w:r/>
    </w:p>
    <w:p>
      <w:pPr>
        <w:pBdr>
          <w:bottom w:val="single" w:sz="6" w:space="1" w:color="auto"/>
        </w:pBdr>
      </w:pPr>
      <w:r/>
    </w:p>
    <w:p>
      <w:pPr>
        <w:pStyle w:val="Heading2"/>
      </w:pPr>
      <w:r>
        <w:t>附：Token 消耗统计</w:t>
      </w:r>
      <w:r/>
    </w:p>
    <w:tbl>
      <w:tblPr>
        <w:tblW w:type="auto" w:w="0"/>
        <w:tblLook w:firstColumn="1" w:firstRow="1" w:lastColumn="0" w:lastRow="0" w:noHBand="0" w:noVBand="1" w:val="04A0"/>
      </w:tblPr>
      <w:tblGrid>
        <w:gridCol w:w="4320"/>
        <w:gridCol w:w="4320"/>
      </w:tblGrid>
      <w:tr>
        <w:tc>
          <w:tcPr>
            <w:tcW w:type="dxa" w:w="4320"/>
          </w:tcPr>
          <w:p>
            <w:r>
              <w:rPr>
                <w:b/>
              </w:rPr>
              <w:t>阶段</w:t>
            </w:r>
          </w:p>
        </w:tc>
        <w:tc>
          <w:tcPr>
            <w:tcW w:type="dxa" w:w="4320"/>
          </w:tcPr>
          <w:p>
            <w:r>
              <w:rPr>
                <w:b/>
              </w:rPr>
              <w:t>Token 消耗</w:t>
            </w:r>
          </w:p>
        </w:tc>
      </w:tr>
      <w:tr>
        <w:tc>
          <w:tcPr>
            <w:tcW w:type="dxa" w:w="4320"/>
          </w:tcPr>
          <w:p>
            <w:r>
              <w:t>规划（Planner）</w:t>
            </w:r>
          </w:p>
        </w:tc>
        <w:tc>
          <w:tcPr>
            <w:tcW w:type="dxa" w:w="4320"/>
          </w:tcPr>
          <w:p>
            <w:r>
              <w:t>2,246</w:t>
            </w:r>
          </w:p>
        </w:tc>
      </w:tr>
      <w:tr>
        <w:tc>
          <w:tcPr>
            <w:tcW w:type="dxa" w:w="4320"/>
          </w:tcPr>
          <w:p>
            <w:r>
              <w:t>审查（Sub-Agents + Reflectors）</w:t>
            </w:r>
          </w:p>
        </w:tc>
        <w:tc>
          <w:tcPr>
            <w:tcW w:type="dxa" w:w="4320"/>
          </w:tcPr>
          <w:p>
            <w:r>
              <w:t>46,117</w:t>
            </w:r>
          </w:p>
        </w:tc>
      </w:tr>
      <w:tr>
        <w:tc>
          <w:tcPr>
            <w:tcW w:type="dxa" w:w="4320"/>
          </w:tcPr>
          <w:p>
            <w:r>
              <w:t>汇总（Summarizer）</w:t>
            </w:r>
          </w:p>
        </w:tc>
        <w:tc>
          <w:tcPr>
            <w:tcW w:type="dxa" w:w="4320"/>
          </w:tcPr>
          <w:p>
            <w:r>
              <w:t>12,868</w:t>
            </w:r>
          </w:p>
        </w:tc>
      </w:tr>
      <w:tr>
        <w:tc>
          <w:tcPr>
            <w:tcW w:type="dxa" w:w="4320"/>
          </w:tcPr>
          <w:p>
            <w:r>
              <w:rPr>
                <w:b/>
              </w:rPr>
              <w:t>合计</w:t>
            </w:r>
          </w:p>
        </w:tc>
        <w:tc>
          <w:tcPr>
            <w:tcW w:type="dxa" w:w="4320"/>
          </w:tcPr>
          <w:p>
            <w:r>
              <w:rPr>
                <w:b/>
              </w:rPr>
              <w:t>61,231</w:t>
            </w:r>
          </w:p>
        </w:tc>
      </w:tr>
    </w:tbl>
    <w:p>
      <w:r/>
    </w:p>
    <w:p>
      <w:pPr>
        <w:pBdr>
          <w:bottom w:val="single" w:sz="6" w:space="1" w:color="auto"/>
        </w:pBdr>
      </w:pPr>
      <w:r/>
    </w:p>
    <w:p>
      <w:pPr>
        <w:pStyle w:val="Heading2"/>
      </w:pPr>
      <w:r>
        <w:t>附：报告生成信息</w:t>
      </w:r>
      <w:r/>
      <w:r/>
    </w:p>
    <w:p>
      <w:pPr>
        <w:pStyle w:val="ListBullet"/>
        <w:spacing w:line="240" w:lineRule="auto"/>
        <w:ind w:left="720"/>
      </w:pPr>
      <w:r/>
      <w:r>
        <w:rPr>
          <w:b/>
        </w:rPr>
        <w:t>总耗时</w:t>
      </w:r>
      <w:r>
        <w:t>: 5m 7s</w:t>
      </w:r>
      <w:r/>
    </w:p>
    <w:p>
      <w:pPr>
        <w:pStyle w:val="ListBullet"/>
        <w:spacing w:line="240" w:lineRule="auto"/>
        <w:ind w:left="720"/>
      </w:pPr>
      <w:r/>
      <w:r>
        <w:rPr>
          <w:b/>
        </w:rPr>
        <w:t>生成时间</w:t>
      </w:r>
      <w:r>
        <w:t>: 2026-03-02 20:51</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