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</w:p>
    <w:p>
      <w:pPr>
        <w:pStyle w:val="Heading1"/>
      </w:pPr>
      <w:r>
        <w:t>合同审查报告</w:t>
      </w:r>
      <w:r/>
    </w:p>
    <w:p>
      <w:pPr>
        <w:pStyle w:val="Heading2"/>
      </w:pPr>
      <w:r>
        <w:t>一、审查概要</w:t>
      </w:r>
      <w:r/>
      <w:r/>
    </w:p>
    <w:p>
      <w:pPr>
        <w:pStyle w:val="ListBullet"/>
        <w:spacing w:line="240" w:lineRule="auto"/>
        <w:ind w:left="720"/>
      </w:pPr>
      <w:r/>
      <w:r>
        <w:t xml:space="preserve">审查标准数量：15项 </w:t>
      </w:r>
      <w:r/>
    </w:p>
    <w:p>
      <w:pPr>
        <w:pStyle w:val="ListBullet"/>
        <w:spacing w:line="240" w:lineRule="auto"/>
        <w:ind w:left="720"/>
      </w:pPr>
      <w:r/>
      <w:r>
        <w:t xml:space="preserve">发现问题总数：3项 </w:t>
      </w:r>
      <w:r/>
    </w:p>
    <w:p>
      <w:pPr>
        <w:pStyle w:val="ListBullet"/>
        <w:spacing w:line="240" w:lineRule="auto"/>
        <w:ind w:left="720"/>
      </w:pPr>
      <w:r/>
      <w:r>
        <w:t xml:space="preserve">高风险问题数量：1项 </w:t>
      </w:r>
      <w:r/>
    </w:p>
    <w:p>
      <w:pPr>
        <w:pStyle w:val="ListBullet"/>
        <w:spacing w:line="240" w:lineRule="auto"/>
        <w:ind w:left="720"/>
      </w:pPr>
      <w:r/>
      <w:r>
        <w:t xml:space="preserve">中风险问题数量：2项 </w:t>
      </w:r>
      <w:r/>
    </w:p>
    <w:p>
      <w:pPr>
        <w:pStyle w:val="ListBullet"/>
        <w:spacing w:line="240" w:lineRule="auto"/>
        <w:ind w:left="720"/>
      </w:pPr>
      <w:r/>
      <w:r>
        <w:t xml:space="preserve">低风险问题数量：0项 </w:t>
      </w:r>
      <w:r/>
      <w:r/>
    </w:p>
    <w:p>
      <w:pPr>
        <w:pStyle w:val="Heading2"/>
      </w:pPr>
      <w:r>
        <w:t>二、风险总览表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审查领域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主要问题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具体问题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风险等级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（三）其他基本问题</w:t>
            </w:r>
          </w:p>
        </w:tc>
        <w:tc>
          <w:tcPr>
            <w:tcW w:type="dxa" w:w="1728"/>
          </w:tcPr>
          <w:p>
            <w:r>
              <w:t>合同文本中混用采购流程术语</w:t>
            </w:r>
          </w:p>
        </w:tc>
        <w:tc>
          <w:tcPr>
            <w:tcW w:type="dxa" w:w="1728"/>
          </w:tcPr>
          <w:p>
            <w:r>
              <w:t>附件一“验收要求”第5点使用“招标单位”指代甲方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（三）其他基本问题</w:t>
            </w:r>
          </w:p>
        </w:tc>
        <w:tc>
          <w:tcPr>
            <w:tcW w:type="dxa" w:w="1728"/>
          </w:tcPr>
          <w:p>
            <w:r>
              <w:t>合同文本中存在主体混淆与文字错误</w:t>
            </w:r>
          </w:p>
        </w:tc>
        <w:tc>
          <w:tcPr>
            <w:tcW w:type="dxa" w:w="1728"/>
          </w:tcPr>
          <w:p>
            <w:r>
              <w:t>附件一“商务要求”第5点“谈判未及时通知”实为“乙方未及时通知”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（三）其他基本问题</w:t>
            </w:r>
          </w:p>
        </w:tc>
        <w:tc>
          <w:tcPr>
            <w:tcW w:type="dxa" w:w="1728"/>
          </w:tcPr>
          <w:p>
            <w:r>
              <w:t>准据法表述不规范、内涵不明确</w:t>
            </w:r>
          </w:p>
        </w:tc>
        <w:tc>
          <w:tcPr>
            <w:tcW w:type="dxa" w:w="1728"/>
          </w:tcPr>
          <w:p>
            <w:r>
              <w:t>第13.2条使用“中国大陆法律法规（不包括冲突法）”作为法律适用条款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（三）其他基本问题</w:t>
            </w:r>
          </w:p>
        </w:tc>
        <w:tc>
          <w:tcPr>
            <w:tcW w:type="dxa" w:w="1728"/>
          </w:tcPr>
          <w:p>
            <w:r>
              <w:t>正文末尾缺乏合同边界提示语</w:t>
            </w:r>
          </w:p>
        </w:tc>
        <w:tc>
          <w:tcPr>
            <w:tcW w:type="dxa" w:w="1728"/>
          </w:tcPr>
          <w:p>
            <w:r>
              <w:t>附件六结束后、签署栏前未设置“以下为合同签署栏”或“以下无正文”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</w:tbl>
    <w:p>
      <w:r/>
    </w:p>
    <w:p>
      <w:pPr>
        <w:pStyle w:val="Heading2"/>
      </w:pPr>
      <w:r>
        <w:t>三、审查详情</w:t>
      </w:r>
      <w:r/>
    </w:p>
    <w:p>
      <w:pPr>
        <w:pStyle w:val="Heading3"/>
      </w:pPr>
      <w:r>
        <w:t>（三）其他基本问题</w:t>
      </w:r>
      <w:r/>
    </w:p>
    <w:p>
      <w:pPr>
        <w:pStyle w:val="Heading4"/>
      </w:pPr>
      <w:r>
        <w:t>检查要点 1.1：校验是否出现招标单位、谈判单位等其他流程中相关用语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风险等级</w:t>
      </w:r>
      <w:r>
        <w:t xml:space="preserve">：高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审查结论</w:t>
      </w:r>
      <w:r>
        <w:t xml:space="preserve">：合同中存在两处不当使用采购流程术语的情形，均违反合同文本应准确反映当事人法律关系的基本要求：一是在附件一“合同内容清单”的“二、验收要求”第5点中错误使用“招标单位”指代甲方；二是在附件一“合同内容清单”的“三、商务要求”第5点中出现明显文字错误，“谈判未及时通知”实为“乙方未及时通知”，属主体混淆与术语误用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原文引用</w:t>
      </w:r>
      <w:r>
        <w:t xml:space="preserve">： </w:t>
      </w:r>
      <w:r/>
    </w:p>
    <w:p>
      <w:r/>
      <w:r>
        <w:t xml:space="preserve">5.支持源站不做任何改动，源站不提供证书和私钥的全链路https方案，提供泛域名证书支持招标单位多个域名接入的需求。 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所在位置</w:t>
      </w:r>
      <w:r>
        <w:t xml:space="preserve">：附件一、合同内容清单、二、验收要求、第5点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问题分析</w:t>
      </w:r>
      <w:r>
        <w:t xml:space="preserve">：“招标单位”系招投标程序中的阶段性称谓，仅适用于采购前期阶段；合同签订后，甲方依法应称为“采购人”或直接以“甲方”指代。在正式合同正文中继续使用“招标单位”，模糊了合同主体身份，易引发对合同性质、权利义务归属及争议解决路径的误解，损害合同严谨性与可执行性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法律依据</w:t>
      </w:r>
      <w:r>
        <w:t xml:space="preserve">：《政府采购法》第四十三条：政府采购合同适用《民法典》。《民法典》第四百七十条明确合同内容应体现当事人真实意思及法律关系；第一百四十二条强调意思表示解释须依词句本义、条款体系及诚信原则，确保表述准确无歧义。 </w:t>
      </w:r>
      <w:r/>
    </w:p>
    <w:p>
      <w:pPr>
        <w:pStyle w:val="ListBullet"/>
        <w:spacing w:line="240" w:lineRule="auto"/>
        <w:ind w:left="720"/>
      </w:pPr>
      <w:r/>
      <w:r/>
    </w:p>
    <w:p>
      <w:r/>
      <w:r>
        <w:rPr>
          <w:b/>
        </w:rPr>
        <w:t>修改建议</w:t>
      </w:r>
      <w:r>
        <w:t xml:space="preserve">： </w:t>
      </w:r>
      <w:r/>
      <w:r/>
    </w:p>
    <w:p>
      <w:r/>
      <w:r>
        <w:t xml:space="preserve">5.支持源站不做任何改动，源站不提供证书和私钥的全链路https方案，提供泛域名证书支持甲方多个域名接入的需求。 </w:t>
      </w:r>
      <w:r/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rPr>
          <w:b/>
        </w:rPr>
        <w:t>原文引用</w:t>
      </w:r>
      <w:r>
        <w:t xml:space="preserve">： </w:t>
      </w:r>
      <w:r/>
      <w:r/>
    </w:p>
    <w:p>
      <w:r/>
      <w:r>
        <w:t xml:space="preserve">5.乙方账户如有变更，应提前15个工作日以正式书面形式通知甲方新的付款信息。由于谈判未及时通知此项变更而造成延期付款等的一切后果，甲方不承担任何责任。 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所在位置</w:t>
      </w:r>
      <w:r>
        <w:t xml:space="preserve">：附件一、合同内容清单、三、商务要求、第5点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问题分析</w:t>
      </w:r>
      <w:r>
        <w:t xml:space="preserve">：“谈判”并非合同当事人，亦非法定采购主体，此处显系“乙方”之笔误。该错误导致责任主体缺失、意思表示严重失真，可能影响付款义务履行认定及违约责任归责，构成实质性文本瑕疵。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法律依据</w:t>
      </w:r>
      <w:r>
        <w:t xml:space="preserve">：《民法典》第一百四十二条、第四百七十条；《最高人民法院关于适用〈中华人民共和国民法典〉合同编通则若干问题的解释》第三条：当事人对合同条款的理解有争议的，应当按照合同所使用的词句、结合相关条款、行为的性质和目的等确定其含义；词句存在明显错误且依通常理解可予更正的，应按真实意思认定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修改建议</w:t>
      </w:r>
      <w:r>
        <w:t xml:space="preserve">： </w:t>
      </w:r>
      <w:r/>
    </w:p>
    <w:p>
      <w:r/>
      <w:r>
        <w:t>5.乙方账户如有变更，应提前15个工作日以正式书面形式通知甲方新的付款信息。由于乙方未及时通知此项变更而造成延期付款等的一切后果，甲方不承担任何责任。</w:t>
      </w:r>
      <w:r/>
      <w:r/>
      <w:r/>
      <w:r/>
    </w:p>
    <w:p>
      <w:pPr>
        <w:pStyle w:val="Heading4"/>
      </w:pPr>
      <w:r>
        <w:t>检查要点 1.2：援引法律校验是否有效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风险等级</w:t>
      </w:r>
      <w:r>
        <w:t xml:space="preserve">：中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审查结论</w:t>
      </w:r>
      <w:r>
        <w:t xml:space="preserve">：合同第13.2条使用“中国大陆法律法规（不包括冲突法）”作为准据法表述，术语不规范、内涵不明确，存在法律适用不确定性风险，可能影响条款效力及争议解决的可预期性。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原文引用</w:t>
      </w:r>
      <w:r>
        <w:t xml:space="preserve">： </w:t>
      </w:r>
      <w:r/>
    </w:p>
    <w:p>
      <w:r/>
      <w:r>
        <w:t xml:space="preserve">13.2 本协议的成立、生效、履行、解释及纠纷解决等，均适用中国大陆法律法规（不包括冲突法）。 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所在位置</w:t>
      </w:r>
      <w:r>
        <w:t xml:space="preserve">：第十三条第13.2款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问题分析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“中国大陆法律法规”非我国法定法律术语，缺乏立法依据与司法实践支撑；《中华人民共和国立法法》《中华人民共和国涉外民事关系法律适用法》等均统一采用“中华人民共和国法律”作为规范表述。 </w:t>
      </w:r>
      <w:r/>
    </w:p>
    <w:p>
      <w:pPr>
        <w:pStyle w:val="ListBullet"/>
        <w:spacing w:line="240" w:lineRule="auto"/>
        <w:ind w:left="720"/>
      </w:pPr>
      <w:r/>
      <w:r>
        <w:t xml:space="preserve">单方排除“冲突法”存在逻辑与适用缺陷：《中华人民共和国涉外民事关系法律适用法》系我国现行有效的专门冲突规范，属国内法组成部分，其适用不以当事人明示选择为前提；若合同实际具有涉外因素（如一方为境外主体、签约地或履行地涉外等），排除该法将导致法律适用规则缺位，违反《涉外民事关系法律适用法》第三条关于强制性规定的直接适用要求。 </w:t>
      </w:r>
      <w:r/>
    </w:p>
    <w:p>
      <w:pPr>
        <w:pStyle w:val="ListBullet"/>
        <w:spacing w:line="240" w:lineRule="auto"/>
        <w:ind w:left="720"/>
      </w:pPr>
      <w:r/>
      <w:r>
        <w:t xml:space="preserve">“法律法规”未明确涵盖范围，易引发对司法解释、行政法规、部门规章及地方性法规效力层级与适用优先性的争议；根据《立法法》第八十七条，法律效力高于行政法规、地方性法规和规章，而最高人民法院发布的司法解释在审判实践中具有普遍约束力，应予明确纳入适用范围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法律依据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《中华人民共和国立法法》第八十七条：“宪法具有最高的法律效力，一切法律、行政法规、地方性法规、自治条例和单行条例、规章都不得同宪法相抵触。” </w:t>
      </w:r>
      <w:r/>
    </w:p>
    <w:p>
      <w:pPr>
        <w:pStyle w:val="ListBullet"/>
        <w:spacing w:line="240" w:lineRule="auto"/>
        <w:ind w:left="720"/>
      </w:pPr>
      <w:r/>
      <w:r>
        <w:t xml:space="preserve">《中华人民共和国涉外民事关系法律适用法》第二条、第三条：“涉外民事关系适用的法律，依照本法确定……中华人民共和国法律对涉外民事关系有强制性规定的，直接适用该强制性规定。” </w:t>
      </w:r>
      <w:r/>
    </w:p>
    <w:p>
      <w:pPr>
        <w:pStyle w:val="ListBullet"/>
        <w:spacing w:line="240" w:lineRule="auto"/>
        <w:ind w:left="720"/>
      </w:pPr>
      <w:r/>
      <w:r>
        <w:t xml:space="preserve">《最高人民法院关于适用〈中华人民共和国涉外民事关系法律适用法〉若干问题的解释（一）》第一条：明确界定涉外民事关系的五类法定情形，提示合同存在隐性涉外连接点的可能性。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修改建议</w:t>
      </w:r>
      <w:r>
        <w:t xml:space="preserve">： </w:t>
      </w:r>
      <w:r/>
    </w:p>
    <w:p>
      <w:r/>
      <w:r>
        <w:t>13.2 本协议的成立、生效、履行、解释及争议解决，均适用中华人民共和国法律（不含国际条约及国际惯例，但中华人民共和国缔结或参加的国际条约另有规定的除外）；如本协议被认定为涉外民事关系，且依法应适用《中华人民共和国涉外民事关系法律适用法》的，从其规定。</w:t>
      </w:r>
      <w:r/>
      <w:r/>
      <w:r/>
      <w:r/>
    </w:p>
    <w:p>
      <w:pPr>
        <w:pStyle w:val="Heading4"/>
      </w:pPr>
      <w:r>
        <w:t>检查要点 1.3：正文最后，写上“以下为合同签署栏/以下无正文”的内容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风险等级</w:t>
      </w:r>
      <w:r>
        <w:t xml:space="preserve">：中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审查结论</w:t>
      </w:r>
      <w:r>
        <w:t xml:space="preserve">：合同正文末尾（附件六结束后、签署页起始前）未设置“以下为合同签署栏”或“以下无正文”等边界提示语，导致正文与签署栏界限模糊，影响合同形式完备性及司法实践中对文本完整性的认定。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原文引用</w:t>
      </w:r>
      <w:r>
        <w:t xml:space="preserve">： </w:t>
      </w:r>
      <w:r/>
    </w:p>
    <w:p>
      <w:r/>
      <w:r>
        <w:t xml:space="preserve">甲方：浙江农村商业联合银行股份有限公司 乙方：腾讯云计算（北京）有限责任公司 </w:t>
      </w:r>
      <w:r/>
    </w:p>
    <w:p>
      <w:r/>
      <w:r>
        <w:t xml:space="preserve">（加盖单位公章或合同专用章） （加盖单位公章或合同专用章） </w:t>
      </w:r>
      <w:r/>
    </w:p>
    <w:p>
      <w:r/>
      <w:r>
        <w:t xml:space="preserve">法定代表人或授权代理人 法定代表人或授权代理人 </w:t>
      </w:r>
      <w:r/>
    </w:p>
    <w:p>
      <w:r/>
      <w:r>
        <w:t xml:space="preserve">（签字或加盖人名章）： （签字或加盖人名章）： </w:t>
      </w:r>
      <w:r/>
    </w:p>
    <w:p>
      <w:r/>
      <w:r>
        <w:t xml:space="preserve">日期：2025年 月 日 日期：2025年 月 日 </w:t>
      </w:r>
      <w:r/>
    </w:p>
    <w:p>
      <w:r/>
      <w:r>
        <w:t xml:space="preserve">（注：涉及授权代理人签署的，请附法定代表人出具的授权书） 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所在位置</w:t>
      </w:r>
      <w:r>
        <w:t xml:space="preserve">：合同正文结束处（紧接附件六之后、签署栏之前）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问题分析</w:t>
      </w:r>
      <w:r>
        <w:t xml:space="preserve">：缺乏明确的正文终止标识，易引发对合同是否被擅自增补、篡改的合理质疑；在争议解决过程中，可能削弱签署页与前述条款之间关联性的证明力，增加举证负担。该瑕疵虽不直接导致合同无效，但构成形式要件缺陷，影响证据效力稳定性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法律依据</w:t>
      </w:r>
      <w:r>
        <w:t xml:space="preserve">：《民法典》第四百七十条明确鼓励参照示范文本订立合同；《全国法院民商事审判工作会议纪要》（法〔2019〕254号）第39条强调合同形式应符合交易习惯和通常理解；《GB/T 1.1—2020 标准编写规则 第1部分：标准化文件的结构和起草规则》亦将“以下无正文”列为规范终止标识，体现文本边界意识与严谨性要求。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修改建议</w:t>
      </w:r>
      <w:r>
        <w:t xml:space="preserve">： </w:t>
      </w:r>
      <w:r/>
    </w:p>
    <w:p>
      <w:r/>
      <w:r>
        <w:t xml:space="preserve">以下为合同签署栏 </w:t>
      </w:r>
      <w:r/>
    </w:p>
    <w:p>
      <w:r/>
      <w:r>
        <w:t xml:space="preserve">甲方：浙江农村商业联合银行股份有限公司 乙方：腾讯云计算（北京）有限责任公司 </w:t>
      </w:r>
      <w:r/>
    </w:p>
    <w:p>
      <w:r/>
      <w:r>
        <w:t xml:space="preserve">（加盖单位公章或合同专用章） （加盖单位公章或合同专用章） </w:t>
      </w:r>
      <w:r/>
    </w:p>
    <w:p>
      <w:r/>
      <w:r>
        <w:t xml:space="preserve">法定代表人或授权代理人 法定代表人或授权代理人 </w:t>
      </w:r>
      <w:r/>
    </w:p>
    <w:p>
      <w:r/>
      <w:r>
        <w:t xml:space="preserve">（签字或加盖人名章）： （签字或加盖人名章）： </w:t>
      </w:r>
      <w:r/>
    </w:p>
    <w:p>
      <w:r/>
      <w:r>
        <w:t xml:space="preserve">日期：2025年 月 日 日期：2025年 月 日 </w:t>
      </w:r>
      <w:r/>
    </w:p>
    <w:p>
      <w:r/>
      <w:r>
        <w:t>（注：涉及授权代理人签署的，请附法定代表人出具的授权书）</w:t>
      </w:r>
      <w:r/>
      <w:r/>
      <w:r/>
      <w:r/>
    </w:p>
    <w:p>
      <w:pPr>
        <w:pStyle w:val="Heading2"/>
      </w:pPr>
      <w:r>
        <w:t>四、优先处理建议</w:t>
      </w:r>
      <w:r/>
    </w:p>
    <w:p>
      <w:r/>
      <w:r>
        <w:t>按风险等级排序，列出需要优先处理的问题（注意剔除所有风险等级为“无”的合规项目）：</w:t>
      </w:r>
      <w:r/>
    </w:p>
    <w:p>
      <w:pPr>
        <w:pStyle w:val="Heading3"/>
      </w:pPr>
      <w:r>
        <w:t>（一）必须立即修订的高风险问题</w:t>
      </w:r>
      <w:r/>
      <w:r/>
    </w:p>
    <w:p>
      <w:pPr>
        <w:pStyle w:val="ListBullet"/>
        <w:spacing w:line="240" w:lineRule="auto"/>
        <w:ind w:left="720"/>
      </w:pPr>
      <w:r/>
      <w:r>
        <w:t xml:space="preserve">将附件一“合同内容清单”中“二、验收要求”第5点的“招标单位”统一更正为“甲方”。 </w:t>
      </w:r>
      <w:r/>
    </w:p>
    <w:p>
      <w:pPr>
        <w:pStyle w:val="ListBullet"/>
        <w:spacing w:line="240" w:lineRule="auto"/>
        <w:ind w:left="720"/>
      </w:pPr>
      <w:r/>
      <w:r>
        <w:t>将附件一“合同内容清单”中“三、商务要求”第5点的“谈判未及时通知”更正为“乙方未及时通知”。</w:t>
      </w:r>
      <w:r/>
      <w:r/>
    </w:p>
    <w:p>
      <w:pPr>
        <w:pStyle w:val="Heading3"/>
      </w:pPr>
      <w:r>
        <w:t>（二）建议同步修订的中风险问题</w:t>
      </w:r>
      <w:r/>
      <w:r/>
    </w:p>
    <w:p>
      <w:pPr>
        <w:pStyle w:val="ListBullet"/>
        <w:spacing w:line="240" w:lineRule="auto"/>
        <w:ind w:left="720"/>
      </w:pPr>
      <w:r/>
      <w:r>
        <w:t xml:space="preserve">将第十三条第13.2款准据法条款修改为：“本协议的成立、生效、履行、解释及争议解决，均适用中华人民共和国法律（不含国际条约及国际惯例，但中华人民共和国缔结或参加的国际条约另有规定的除外）；如本协议被认定为涉外民事关系，且依法应适用《中华人民共和国涉外民事关系法律适用法》的，从其规定。” </w:t>
      </w:r>
      <w:r/>
    </w:p>
    <w:p>
      <w:pPr>
        <w:pStyle w:val="ListBullet"/>
        <w:spacing w:line="240" w:lineRule="auto"/>
        <w:ind w:left="720"/>
      </w:pPr>
      <w:r/>
      <w:r>
        <w:t>在附件六结束后、签署栏起始位置增加“以下为合同签署栏”字样，以明确正文终止边界。</w:t>
      </w:r>
      <w:r/>
      <w:r/>
    </w:p>
    <w:p>
      <w:pPr>
        <w:pStyle w:val="Heading3"/>
      </w:pPr>
      <w:r>
        <w:t>（三）可后续验证的低风险问题</w:t>
      </w:r>
      <w:r/>
    </w:p>
    <w:p>
      <w:r/>
      <w:r>
        <w:t>（无）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附：审查标准覆盖核查表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审查内容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审查状态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【（一）合同主体】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通过工商数据比对该签约主体是否存在重大涉法涉诉事项；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1.2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核对经营范围，合同标的是否在经营范围之内；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1.3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合同提供信息是否齐全，是否与工商登记一致，包括联系地址、联系电话、传真、法定代表人或负责人、联系人等信息；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1.4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购买软件等产品，是否有核心知识产权；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【（二）合同框架】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合同主要项目负责人是否确定、是否预留姓名、身份证号码及电话号码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采购内容：品种、规格、型号、等级、花色等应具体注明，必要时可通过附件说明标的物的实际情况。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合同金额：数量、价款要明确，包括数额的计量单位，同时写明标的物的单价、总价，币种等。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付款计划：要有明确节点确认付款，应预留一部分金额待免费维保期结束后支付，且明确发票类型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合同期限：约定具体的合同履行期限，可按照年度、季度、月、旬、日计算；同时，明确各期限的概念，如自然日或工作日、自然季度或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【（三）其他基本问题】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是否有错别字、是否标题顺序杂乱、是否付款计划所有总和与合同总金额不一致，合同金额大小写不一致、语句语病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校验相同条款在正文与附件中约定是否一致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校验是否出现招标单位、谈判单位等其他流程中相关用语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合同主体名称和签订主体名称首尾须保持一致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援引法律校验是否有效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正文最后，写上“以下为合同签署栏/以下无正文”的内容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✅</w:t>
            </w:r>
          </w:p>
        </w:tc>
      </w:tr>
    </w:tbl>
    <w:p>
      <w:r/>
    </w:p>
    <w:p>
      <w:r/>
      <w:r>
        <w:rPr>
          <w:b/>
        </w:rPr>
        <w:t>覆盖率：6/15（40%）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附：Token 消耗统计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Token 消耗</w:t>
            </w:r>
          </w:p>
        </w:tc>
      </w:tr>
      <w:tr>
        <w:tc>
          <w:tcPr>
            <w:tcW w:type="dxa" w:w="4320"/>
          </w:tcPr>
          <w:p>
            <w:r>
              <w:t>规划（Planner）</w:t>
            </w:r>
          </w:p>
        </w:tc>
        <w:tc>
          <w:tcPr>
            <w:tcW w:type="dxa" w:w="4320"/>
          </w:tcPr>
          <w:p>
            <w:r>
              <w:t>2,246</w:t>
            </w:r>
          </w:p>
        </w:tc>
      </w:tr>
      <w:tr>
        <w:tc>
          <w:tcPr>
            <w:tcW w:type="dxa" w:w="4320"/>
          </w:tcPr>
          <w:p>
            <w:r>
              <w:t>审查（Sub-Agents + Reflectors）</w:t>
            </w:r>
          </w:p>
        </w:tc>
        <w:tc>
          <w:tcPr>
            <w:tcW w:type="dxa" w:w="4320"/>
          </w:tcPr>
          <w:p>
            <w:r>
              <w:t>37,805</w:t>
            </w:r>
          </w:p>
        </w:tc>
      </w:tr>
      <w:tr>
        <w:tc>
          <w:tcPr>
            <w:tcW w:type="dxa" w:w="4320"/>
          </w:tcPr>
          <w:p>
            <w:r>
              <w:t>汇总（Summarizer）</w:t>
            </w:r>
          </w:p>
        </w:tc>
        <w:tc>
          <w:tcPr>
            <w:tcW w:type="dxa" w:w="4320"/>
          </w:tcPr>
          <w:p>
            <w:r>
              <w:t>10,358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50,409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附：报告生成信息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总耗时</w:t>
      </w:r>
      <w:r>
        <w:t>: 5m 33s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生成时间</w:t>
      </w:r>
      <w:r>
        <w:t>: 2026-03-02 20:58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